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尉氏县</w:t>
      </w:r>
      <w:r>
        <w:rPr>
          <w:rFonts w:hint="eastAsia" w:ascii="方正小标宋简体" w:hAnsi="方正小标宋简体" w:eastAsia="方正小标宋简体" w:cs="方正小标宋简体"/>
          <w:sz w:val="44"/>
          <w:szCs w:val="44"/>
        </w:rPr>
        <w:t>人力资源社会保障局</w:t>
      </w:r>
      <w:r>
        <w:rPr>
          <w:rFonts w:hint="eastAsia" w:ascii="仿宋" w:hAnsi="仿宋" w:eastAsia="仿宋" w:cs="方正小标宋简体"/>
          <w:sz w:val="44"/>
          <w:szCs w:val="44"/>
        </w:rPr>
        <w:t>2025</w:t>
      </w:r>
      <w:r>
        <w:rPr>
          <w:rFonts w:hint="eastAsia" w:ascii="方正小标宋简体" w:hAnsi="方正小标宋简体" w:eastAsia="方正小标宋简体" w:cs="方正小标宋简体"/>
          <w:sz w:val="44"/>
          <w:szCs w:val="44"/>
        </w:rPr>
        <w:t>年“双随机、一公开”监管抽查计划表</w:t>
      </w:r>
    </w:p>
    <w:p>
      <w:pPr>
        <w:snapToGrid w:val="0"/>
        <w:rPr>
          <w:rFonts w:ascii="方正小标宋简体" w:hAnsi="方正小标宋简体" w:eastAsia="方正小标宋简体" w:cs="方正小标宋简体"/>
          <w:szCs w:val="21"/>
        </w:rPr>
      </w:pPr>
    </w:p>
    <w:tbl>
      <w:tblPr>
        <w:tblStyle w:val="3"/>
        <w:tblW w:w="16154" w:type="dxa"/>
        <w:jc w:val="center"/>
        <w:tblLayout w:type="fixed"/>
        <w:tblCellMar>
          <w:top w:w="0" w:type="dxa"/>
          <w:left w:w="0" w:type="dxa"/>
          <w:bottom w:w="0" w:type="dxa"/>
          <w:right w:w="0" w:type="dxa"/>
        </w:tblCellMar>
      </w:tblPr>
      <w:tblGrid>
        <w:gridCol w:w="562"/>
        <w:gridCol w:w="1134"/>
        <w:gridCol w:w="1418"/>
        <w:gridCol w:w="1134"/>
        <w:gridCol w:w="1134"/>
        <w:gridCol w:w="1276"/>
        <w:gridCol w:w="2211"/>
        <w:gridCol w:w="765"/>
        <w:gridCol w:w="851"/>
        <w:gridCol w:w="990"/>
        <w:gridCol w:w="1844"/>
        <w:gridCol w:w="1560"/>
        <w:gridCol w:w="1275"/>
      </w:tblGrid>
      <w:tr>
        <w:tblPrEx>
          <w:tblCellMar>
            <w:top w:w="0" w:type="dxa"/>
            <w:left w:w="0" w:type="dxa"/>
            <w:bottom w:w="0" w:type="dxa"/>
            <w:right w:w="0" w:type="dxa"/>
          </w:tblCellMar>
        </w:tblPrEx>
        <w:trPr>
          <w:trHeight w:val="936" w:hRule="atLeast"/>
          <w:jc w:val="center"/>
        </w:trPr>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序号</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领域</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事项</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抽查计划名称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事项</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类别</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对象</w:t>
            </w:r>
          </w:p>
        </w:tc>
        <w:tc>
          <w:tcPr>
            <w:tcW w:w="22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内容</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比例</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抽查</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时间</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hint="eastAsia" w:ascii="黑体" w:hAnsi="宋体" w:eastAsia="黑体" w:cs="黑体"/>
                <w:color w:val="000000"/>
                <w:kern w:val="0"/>
                <w:sz w:val="24"/>
                <w:lang w:eastAsia="zh-CN" w:bidi="ar"/>
              </w:rPr>
            </w:pPr>
            <w:r>
              <w:rPr>
                <w:rFonts w:hint="eastAsia" w:ascii="黑体" w:hAnsi="宋体" w:eastAsia="黑体" w:cs="黑体"/>
                <w:color w:val="000000"/>
                <w:kern w:val="0"/>
                <w:sz w:val="24"/>
                <w:lang w:eastAsia="zh-CN" w:bidi="ar"/>
              </w:rPr>
              <w:t>抽查</w:t>
            </w:r>
          </w:p>
          <w:p>
            <w:pPr>
              <w:widowControl/>
              <w:adjustRightInd w:val="0"/>
              <w:snapToGrid w:val="0"/>
              <w:spacing w:line="340" w:lineRule="exact"/>
              <w:jc w:val="center"/>
              <w:textAlignment w:val="center"/>
              <w:rPr>
                <w:rFonts w:hint="eastAsia" w:ascii="黑体" w:hAnsi="宋体" w:eastAsia="黑体" w:cs="黑体"/>
                <w:color w:val="000000"/>
                <w:kern w:val="0"/>
                <w:sz w:val="24"/>
                <w:lang w:eastAsia="zh-CN" w:bidi="ar"/>
              </w:rPr>
            </w:pPr>
            <w:r>
              <w:rPr>
                <w:rFonts w:hint="eastAsia" w:ascii="黑体" w:hAnsi="宋体" w:eastAsia="黑体" w:cs="黑体"/>
                <w:color w:val="000000"/>
                <w:kern w:val="0"/>
                <w:sz w:val="24"/>
                <w:lang w:eastAsia="zh-CN" w:bidi="ar"/>
              </w:rPr>
              <w:t>频次</w:t>
            </w:r>
          </w:p>
        </w:tc>
        <w:tc>
          <w:tcPr>
            <w:tcW w:w="18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责任</w:t>
            </w:r>
          </w:p>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eastAsia="zh-CN" w:bidi="ar"/>
              </w:rPr>
              <w:t>股</w:t>
            </w:r>
            <w:r>
              <w:rPr>
                <w:rFonts w:hint="eastAsia" w:ascii="黑体" w:hAnsi="宋体" w:eastAsia="黑体" w:cs="黑体"/>
                <w:color w:val="000000"/>
                <w:kern w:val="0"/>
                <w:sz w:val="24"/>
                <w:lang w:bidi="ar"/>
              </w:rPr>
              <w:t>室、单位</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参与部门</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检查主体</w:t>
            </w:r>
          </w:p>
        </w:tc>
      </w:tr>
      <w:tr>
        <w:tblPrEx>
          <w:tblCellMar>
            <w:top w:w="0" w:type="dxa"/>
            <w:left w:w="0" w:type="dxa"/>
            <w:bottom w:w="0" w:type="dxa"/>
            <w:right w:w="0" w:type="dxa"/>
          </w:tblCellMar>
        </w:tblPrEx>
        <w:trPr>
          <w:trHeight w:val="351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人力资源市场</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人力资源服务、劳务派遣用工等人力资源市场秩序的检查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2025年</w:t>
            </w:r>
            <w:r>
              <w:rPr>
                <w:rFonts w:hint="eastAsia" w:ascii="仿宋" w:hAnsi="仿宋" w:eastAsia="仿宋" w:cs="仿宋_GB2312"/>
                <w:color w:val="000000"/>
                <w:kern w:val="0"/>
                <w:sz w:val="24"/>
                <w:lang w:eastAsia="zh-CN" w:bidi="ar"/>
              </w:rPr>
              <w:t>杞县</w:t>
            </w:r>
            <w:r>
              <w:rPr>
                <w:rFonts w:hint="eastAsia" w:ascii="仿宋" w:hAnsi="仿宋" w:eastAsia="仿宋" w:cs="仿宋_GB2312"/>
                <w:color w:val="000000"/>
                <w:kern w:val="0"/>
                <w:sz w:val="24"/>
                <w:lang w:bidi="ar"/>
              </w:rPr>
              <w:t>清理整顿人力资源市场检查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经营性人力资源机构、劳务派遣单位</w:t>
            </w: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kern w:val="0"/>
                <w:sz w:val="24"/>
                <w:lang w:bidi="ar"/>
              </w:rPr>
            </w:pPr>
            <w:r>
              <w:rPr>
                <w:rFonts w:hint="eastAsia" w:ascii="仿宋" w:hAnsi="仿宋" w:eastAsia="仿宋" w:cs="仿宋_GB2312"/>
                <w:kern w:val="0"/>
                <w:sz w:val="24"/>
                <w:lang w:bidi="ar"/>
              </w:rPr>
              <w:t>1.依法申请行政许可情况；2.是否具备相应条件；3.年度劳务派遣经营报告情况；4.依法开展人力资源活动及劳务派遣情况；5.用工单位依法用工情况；6.人力资源机构消防安全是否达标。</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kern w:val="0"/>
                <w:sz w:val="24"/>
                <w:lang w:bidi="ar"/>
              </w:rPr>
            </w:pPr>
            <w:r>
              <w:rPr>
                <w:rFonts w:hint="eastAsia" w:ascii="仿宋" w:hAnsi="仿宋" w:eastAsia="仿宋" w:cs="仿宋_GB2312"/>
                <w:kern w:val="0"/>
                <w:sz w:val="24"/>
                <w:lang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5-7月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eastAsia="zh-CN" w:bidi="ar"/>
              </w:rPr>
            </w:pPr>
            <w:r>
              <w:rPr>
                <w:rFonts w:hint="eastAsia" w:ascii="仿宋" w:hAnsi="仿宋" w:eastAsia="仿宋" w:cs="仿宋_GB2312"/>
                <w:color w:val="000000"/>
                <w:sz w:val="24"/>
                <w:lang w:eastAsia="zh-CN"/>
              </w:rPr>
              <w:t>行政审批、劳动保障权益中心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val="en" w:bidi="ar"/>
              </w:rPr>
            </w:pPr>
            <w:r>
              <w:rPr>
                <w:rFonts w:hint="eastAsia" w:ascii="仿宋" w:hAnsi="仿宋" w:eastAsia="仿宋" w:cs="仿宋_GB2312"/>
                <w:color w:val="000000"/>
                <w:kern w:val="0"/>
                <w:sz w:val="24"/>
                <w:lang w:val="en" w:bidi="ar"/>
              </w:rPr>
              <w:t>县级</w:t>
            </w:r>
          </w:p>
        </w:tc>
      </w:tr>
      <w:tr>
        <w:tblPrEx>
          <w:tblCellMar>
            <w:top w:w="0" w:type="dxa"/>
            <w:left w:w="0" w:type="dxa"/>
            <w:bottom w:w="0" w:type="dxa"/>
            <w:right w:w="0" w:type="dxa"/>
          </w:tblCellMar>
        </w:tblPrEx>
        <w:trPr>
          <w:trHeight w:val="294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民办职业培训行业</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实施职业技能培训的民办学校是否有民办教育促进法第六十二条的情形</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2025年</w:t>
            </w:r>
            <w:r>
              <w:rPr>
                <w:rFonts w:hint="eastAsia" w:ascii="仿宋" w:hAnsi="仿宋" w:eastAsia="仿宋" w:cs="仿宋_GB2312"/>
                <w:color w:val="000000"/>
                <w:kern w:val="0"/>
                <w:sz w:val="24"/>
                <w:lang w:eastAsia="zh-CN" w:bidi="ar"/>
              </w:rPr>
              <w:t>杞县</w:t>
            </w:r>
            <w:r>
              <w:rPr>
                <w:rFonts w:hint="eastAsia" w:ascii="仿宋" w:hAnsi="仿宋" w:eastAsia="仿宋" w:cs="仿宋_GB2312"/>
                <w:color w:val="000000"/>
                <w:kern w:val="0"/>
                <w:sz w:val="24"/>
                <w:lang w:bidi="ar"/>
              </w:rPr>
              <w:t>市民办职业培训学校专项检查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民办职业培训学校</w:t>
            </w:r>
          </w:p>
          <w:p>
            <w:pPr>
              <w:widowControl/>
              <w:adjustRightInd w:val="0"/>
              <w:snapToGrid w:val="0"/>
              <w:spacing w:line="340" w:lineRule="exact"/>
              <w:jc w:val="center"/>
              <w:textAlignment w:val="center"/>
              <w:rPr>
                <w:rFonts w:ascii="仿宋" w:hAnsi="仿宋" w:eastAsia="仿宋" w:cs="仿宋_GB2312"/>
                <w:color w:val="000000"/>
                <w:sz w:val="24"/>
              </w:rPr>
            </w:pP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left"/>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1.检查是否有违规办学等情况；2.检查办学场地；3.检查教学及实训设施设备。</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4-6月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eastAsia="zh-CN" w:bidi="ar"/>
              </w:rPr>
            </w:pPr>
            <w:r>
              <w:rPr>
                <w:rFonts w:hint="eastAsia" w:ascii="仿宋" w:hAnsi="仿宋" w:eastAsia="仿宋" w:cs="仿宋_GB2312"/>
                <w:color w:val="000000"/>
                <w:kern w:val="0"/>
                <w:sz w:val="24"/>
                <w:lang w:eastAsia="zh-CN" w:bidi="ar"/>
              </w:rPr>
              <w:t>就业中心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val="en" w:bidi="ar"/>
              </w:rPr>
              <w:t>县级</w:t>
            </w:r>
          </w:p>
        </w:tc>
      </w:tr>
      <w:tr>
        <w:tblPrEx>
          <w:tblCellMar>
            <w:top w:w="0" w:type="dxa"/>
            <w:left w:w="0" w:type="dxa"/>
            <w:bottom w:w="0" w:type="dxa"/>
            <w:right w:w="0" w:type="dxa"/>
          </w:tblCellMar>
        </w:tblPrEx>
        <w:trPr>
          <w:trHeight w:val="294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企业</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不定时工作制和综合计算工时工作制执行情况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2025年企业不定时工作制和综合计算工时工作制执行情况监督检查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企业</w:t>
            </w: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left"/>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1.工作时间执行情况；2.考勤管理制度制定和执行</w:t>
            </w:r>
            <w:r>
              <w:rPr>
                <w:rFonts w:hint="eastAsia" w:ascii="仿宋" w:hAnsi="仿宋" w:eastAsia="仿宋" w:cs="仿宋_GB2312"/>
                <w:color w:val="000000"/>
                <w:kern w:val="0"/>
                <w:sz w:val="24"/>
                <w:lang w:eastAsia="zh-CN" w:bidi="ar"/>
              </w:rPr>
              <w:t>情</w:t>
            </w:r>
            <w:r>
              <w:rPr>
                <w:rFonts w:hint="eastAsia" w:ascii="仿宋" w:hAnsi="仿宋" w:eastAsia="仿宋" w:cs="仿宋_GB2312"/>
                <w:color w:val="000000"/>
                <w:kern w:val="0"/>
                <w:sz w:val="24"/>
                <w:lang w:bidi="ar"/>
              </w:rPr>
              <w:t>况；3.工资分配制度和支付</w:t>
            </w:r>
            <w:r>
              <w:rPr>
                <w:rFonts w:hint="eastAsia" w:ascii="仿宋" w:hAnsi="仿宋" w:eastAsia="仿宋" w:cs="仿宋_GB2312"/>
                <w:color w:val="000000"/>
                <w:kern w:val="0"/>
                <w:sz w:val="24"/>
                <w:lang w:eastAsia="zh-CN" w:bidi="ar"/>
              </w:rPr>
              <w:t>情</w:t>
            </w:r>
            <w:r>
              <w:rPr>
                <w:rFonts w:hint="eastAsia" w:ascii="仿宋" w:hAnsi="仿宋" w:eastAsia="仿宋" w:cs="仿宋_GB2312"/>
                <w:color w:val="000000"/>
                <w:kern w:val="0"/>
                <w:sz w:val="24"/>
                <w:lang w:bidi="ar"/>
              </w:rPr>
              <w:t>况；4.工作岗位和工时安排等情况。</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7月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sz w:val="24"/>
                <w:lang w:eastAsia="zh-CN"/>
              </w:rPr>
              <w:t>劳动保障权益中心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val="en" w:bidi="ar"/>
              </w:rPr>
              <w:t>县级</w:t>
            </w:r>
          </w:p>
        </w:tc>
      </w:tr>
      <w:tr>
        <w:tblPrEx>
          <w:tblCellMar>
            <w:top w:w="0" w:type="dxa"/>
            <w:left w:w="0" w:type="dxa"/>
            <w:bottom w:w="0" w:type="dxa"/>
            <w:right w:w="0" w:type="dxa"/>
          </w:tblCellMar>
        </w:tblPrEx>
        <w:trPr>
          <w:trHeight w:val="573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用人单位</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对用人单位和个人遵守劳动用工和社会保险法律、法规和规章情况的监督检查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2025年对用人单位和个人遵守劳动用工和社会保险法律、法规和规章情况的监督检查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一般检查</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用人单位、个人</w:t>
            </w:r>
          </w:p>
        </w:tc>
        <w:tc>
          <w:tcPr>
            <w:tcW w:w="22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both"/>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1.内部劳动保障制度制定情况；2.与劳动者签订劳动合同情况；3.禁止使用童工规定遵守情况；4.女职工和未成年工特殊劳动保护规定遵守情况；5.工作时间和休息休假规定遵守情况；6.支付劳动者工资和执行最低工资标准情况；7.社会保险登记情况；8.法律、法规和规章规定的其他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bidi="ar"/>
              </w:rPr>
              <w:t>A类5%；</w:t>
            </w:r>
          </w:p>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B类60%；C类100%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sz w:val="24"/>
              </w:rPr>
            </w:pPr>
            <w:r>
              <w:rPr>
                <w:rFonts w:hint="eastAsia" w:ascii="仿宋" w:hAnsi="仿宋" w:eastAsia="仿宋" w:cs="仿宋_GB2312"/>
                <w:color w:val="000000"/>
                <w:kern w:val="0"/>
                <w:sz w:val="24"/>
                <w:lang w:bidi="ar"/>
              </w:rPr>
              <w:t>4月</w:t>
            </w: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hint="eastAsia" w:ascii="仿宋" w:hAnsi="仿宋" w:eastAsia="仿宋" w:cs="仿宋_GB2312"/>
                <w:color w:val="000000"/>
                <w:kern w:val="0"/>
                <w:sz w:val="24"/>
                <w:lang w:bidi="ar"/>
              </w:rPr>
            </w:pPr>
            <w:r>
              <w:rPr>
                <w:rFonts w:hint="eastAsia" w:ascii="仿宋" w:hAnsi="仿宋" w:eastAsia="仿宋" w:cs="仿宋_GB2312"/>
                <w:color w:val="000000"/>
                <w:sz w:val="24"/>
                <w:lang w:val="en-US" w:eastAsia="zh-CN"/>
              </w:rPr>
              <w:t>1次/年</w:t>
            </w:r>
          </w:p>
        </w:tc>
        <w:tc>
          <w:tcPr>
            <w:tcW w:w="18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bookmarkStart w:id="0" w:name="_GoBack"/>
            <w:bookmarkEnd w:id="0"/>
            <w:r>
              <w:rPr>
                <w:rFonts w:hint="eastAsia" w:ascii="仿宋" w:hAnsi="仿宋" w:eastAsia="仿宋" w:cs="仿宋_GB2312"/>
                <w:color w:val="000000"/>
                <w:kern w:val="0"/>
                <w:sz w:val="24"/>
                <w:lang w:bidi="ar"/>
              </w:rPr>
              <w:t>劳动权益保障中心</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textAlignment w:val="center"/>
              <w:rPr>
                <w:rFonts w:ascii="仿宋" w:hAnsi="仿宋" w:eastAsia="仿宋" w:cs="仿宋_GB2312"/>
                <w:color w:val="000000"/>
                <w:sz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40" w:lineRule="exact"/>
              <w:jc w:val="center"/>
              <w:textAlignment w:val="center"/>
              <w:rPr>
                <w:rFonts w:ascii="仿宋" w:hAnsi="仿宋" w:eastAsia="仿宋" w:cs="仿宋_GB2312"/>
                <w:color w:val="000000"/>
                <w:kern w:val="0"/>
                <w:sz w:val="24"/>
                <w:lang w:bidi="ar"/>
              </w:rPr>
            </w:pPr>
            <w:r>
              <w:rPr>
                <w:rFonts w:hint="eastAsia" w:ascii="仿宋" w:hAnsi="仿宋" w:eastAsia="仿宋" w:cs="仿宋_GB2312"/>
                <w:color w:val="000000"/>
                <w:kern w:val="0"/>
                <w:sz w:val="24"/>
                <w:lang w:val="en" w:bidi="ar"/>
              </w:rPr>
              <w:t>县级</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 w:hAnsi="仿宋" w:eastAsia="仿宋" w:cs="仿宋"/>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82BAF"/>
    <w:rsid w:val="0E182BAF"/>
    <w:rsid w:val="3AE3820B"/>
    <w:rsid w:val="54F59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2025-08-20T17:20:00Z</dcterms:created>
  <dc:creator>取个名字很纠结、</dc:creator>
  <cp:lastModifiedBy>admins</cp:lastModifiedBy>
  <dcterms:modified xsi:type="dcterms:W3CDTF">2025-10-10T16:18:09Z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AE77DF8DBDFD4195BC8CF54EC5B99B5F_11</vt:lpwstr>
  </property>
  <property fmtid="{D5CDD505-2E9C-101B-9397-08002B2CF9AE}" pid="4" name="KSOTemplateDocerSaveRecord">
    <vt:lpwstr>eyJoZGlkIjoiMTczNTlmMGIxMjI3M2NiYzM5MTdhMGQ5MWJlZjg2MzEiLCJ1c2VySWQiOiI0OTE2MTkzMDMifQ==</vt:lpwstr>
  </property>
</Properties>
</file>