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3DEB4">
      <w:pPr>
        <w:jc w:val="center"/>
        <w:rPr>
          <w:rFonts w:ascii="仿宋_GB2312" w:hAnsi="仿宋_GB2312" w:eastAsia="仿宋_GB2312" w:cs="仿宋_GB2312"/>
          <w:sz w:val="32"/>
          <w:szCs w:val="32"/>
        </w:rPr>
      </w:pPr>
    </w:p>
    <w:p w14:paraId="0E6D2AB4">
      <w:pPr>
        <w:jc w:val="center"/>
        <w:rPr>
          <w:rFonts w:ascii="仿宋_GB2312" w:hAnsi="仿宋_GB2312" w:eastAsia="仿宋_GB2312" w:cs="仿宋_GB2312"/>
          <w:sz w:val="32"/>
          <w:szCs w:val="32"/>
        </w:rPr>
      </w:pPr>
    </w:p>
    <w:p w14:paraId="612DAC66">
      <w:pPr>
        <w:jc w:val="center"/>
        <w:rPr>
          <w:rFonts w:ascii="仿宋_GB2312" w:hAnsi="仿宋_GB2312" w:eastAsia="仿宋_GB2312" w:cs="仿宋_GB2312"/>
          <w:sz w:val="32"/>
          <w:szCs w:val="32"/>
        </w:rPr>
      </w:pPr>
    </w:p>
    <w:p w14:paraId="3D2E81E3">
      <w:pPr>
        <w:jc w:val="center"/>
        <w:rPr>
          <w:rFonts w:ascii="仿宋_GB2312" w:hAnsi="仿宋_GB2312" w:eastAsia="仿宋_GB2312" w:cs="仿宋_GB2312"/>
          <w:sz w:val="32"/>
          <w:szCs w:val="32"/>
        </w:rPr>
      </w:pPr>
    </w:p>
    <w:p w14:paraId="2215D6DC">
      <w:pPr>
        <w:jc w:val="center"/>
        <w:rPr>
          <w:rFonts w:ascii="仿宋_GB2312" w:hAnsi="仿宋_GB2312" w:eastAsia="仿宋_GB2312" w:cs="仿宋_GB2312"/>
          <w:sz w:val="48"/>
          <w:szCs w:val="48"/>
        </w:rPr>
      </w:pPr>
    </w:p>
    <w:p w14:paraId="29383CBE">
      <w:pPr>
        <w:jc w:val="center"/>
        <w:rPr>
          <w:rFonts w:ascii="仿宋_GB2312" w:hAnsi="仿宋_GB2312" w:eastAsia="仿宋_GB2312" w:cs="仿宋_GB2312"/>
          <w:sz w:val="32"/>
          <w:szCs w:val="32"/>
        </w:rPr>
      </w:pPr>
    </w:p>
    <w:p w14:paraId="75D32EB7">
      <w:pPr>
        <w:jc w:val="center"/>
        <w:rPr>
          <w:rFonts w:ascii="仿宋_GB2312" w:hAnsi="仿宋_GB2312" w:eastAsia="仿宋_GB2312" w:cs="仿宋_GB2312"/>
          <w:sz w:val="10"/>
          <w:szCs w:val="10"/>
        </w:rPr>
      </w:pPr>
    </w:p>
    <w:p w14:paraId="5EC36306">
      <w:pPr>
        <w:jc w:val="center"/>
        <w:rPr>
          <w:rFonts w:ascii="仿宋_GB2312" w:hAnsi="仿宋_GB2312" w:eastAsia="仿宋_GB2312" w:cs="仿宋_GB2312"/>
          <w:sz w:val="10"/>
          <w:szCs w:val="10"/>
        </w:rPr>
      </w:pPr>
    </w:p>
    <w:p w14:paraId="4EDDF12F">
      <w:pPr>
        <w:jc w:val="center"/>
        <w:rPr>
          <w:rFonts w:hint="eastAsia" w:asciiTheme="majorEastAsia" w:hAnsiTheme="majorEastAsia" w:eastAsiaTheme="majorEastAsia" w:cstheme="majorEastAsia"/>
          <w:b/>
          <w:bCs/>
          <w:kern w:val="0"/>
          <w:sz w:val="44"/>
          <w:szCs w:val="44"/>
          <w:shd w:val="clear" w:color="auto" w:fill="FFFFFF"/>
        </w:rPr>
      </w:pPr>
      <w:r>
        <w:rPr>
          <w:rFonts w:hint="eastAsia" w:asciiTheme="majorEastAsia" w:hAnsiTheme="majorEastAsia" w:eastAsiaTheme="majorEastAsia" w:cstheme="majorEastAsia"/>
          <w:b/>
          <w:bCs/>
          <w:kern w:val="0"/>
          <w:sz w:val="44"/>
          <w:szCs w:val="44"/>
          <w:shd w:val="clear" w:color="auto" w:fill="FFFFFF"/>
        </w:rPr>
        <w:t>尉氏县农业农村局</w:t>
      </w:r>
    </w:p>
    <w:p w14:paraId="5D099829">
      <w:pPr>
        <w:jc w:val="center"/>
        <w:rPr>
          <w:rFonts w:hint="eastAsia" w:asciiTheme="majorEastAsia" w:hAnsiTheme="majorEastAsia" w:eastAsiaTheme="majorEastAsia" w:cstheme="majorEastAsia"/>
          <w:b/>
          <w:bCs/>
          <w:kern w:val="0"/>
          <w:sz w:val="44"/>
          <w:szCs w:val="44"/>
          <w:shd w:val="clear" w:color="auto" w:fill="FFFFFF"/>
        </w:rPr>
      </w:pPr>
      <w:r>
        <w:rPr>
          <w:rFonts w:hint="eastAsia" w:asciiTheme="majorEastAsia" w:hAnsiTheme="majorEastAsia" w:eastAsiaTheme="majorEastAsia" w:cstheme="majorEastAsia"/>
          <w:b/>
          <w:bCs/>
          <w:kern w:val="0"/>
          <w:sz w:val="44"/>
          <w:szCs w:val="44"/>
          <w:shd w:val="clear" w:color="auto" w:fill="FFFFFF"/>
        </w:rPr>
        <w:t>202</w:t>
      </w:r>
      <w:r>
        <w:rPr>
          <w:rFonts w:hint="eastAsia" w:asciiTheme="majorEastAsia" w:hAnsiTheme="majorEastAsia" w:eastAsiaTheme="majorEastAsia" w:cstheme="majorEastAsia"/>
          <w:b/>
          <w:bCs/>
          <w:kern w:val="0"/>
          <w:sz w:val="44"/>
          <w:szCs w:val="44"/>
          <w:shd w:val="clear" w:color="auto" w:fill="FFFFFF"/>
          <w:lang w:val="en-US" w:eastAsia="zh-CN"/>
        </w:rPr>
        <w:t>5</w:t>
      </w:r>
      <w:r>
        <w:rPr>
          <w:rFonts w:hint="eastAsia" w:asciiTheme="majorEastAsia" w:hAnsiTheme="majorEastAsia" w:eastAsiaTheme="majorEastAsia" w:cstheme="majorEastAsia"/>
          <w:b/>
          <w:bCs/>
          <w:kern w:val="0"/>
          <w:sz w:val="44"/>
          <w:szCs w:val="44"/>
          <w:shd w:val="clear" w:color="auto" w:fill="FFFFFF"/>
        </w:rPr>
        <w:t>年</w:t>
      </w:r>
      <w:r>
        <w:rPr>
          <w:rFonts w:hint="eastAsia" w:asciiTheme="majorEastAsia" w:hAnsiTheme="majorEastAsia" w:eastAsiaTheme="majorEastAsia" w:cstheme="majorEastAsia"/>
          <w:b/>
          <w:bCs/>
          <w:kern w:val="0"/>
          <w:sz w:val="44"/>
          <w:szCs w:val="44"/>
          <w:shd w:val="clear" w:color="auto" w:fill="FFFFFF"/>
          <w:lang w:eastAsia="zh-CN"/>
        </w:rPr>
        <w:t>农资市场</w:t>
      </w:r>
      <w:r>
        <w:rPr>
          <w:rFonts w:hint="eastAsia" w:asciiTheme="majorEastAsia" w:hAnsiTheme="majorEastAsia" w:eastAsiaTheme="majorEastAsia" w:cstheme="majorEastAsia"/>
          <w:b/>
          <w:bCs/>
          <w:kern w:val="0"/>
          <w:sz w:val="44"/>
          <w:szCs w:val="44"/>
          <w:shd w:val="clear" w:color="auto" w:fill="FFFFFF"/>
        </w:rPr>
        <w:t>“双随机一公开”抽查计划</w:t>
      </w:r>
    </w:p>
    <w:p w14:paraId="6CA00922">
      <w:pPr>
        <w:ind w:firstLine="640" w:firstLineChars="200"/>
        <w:rPr>
          <w:rFonts w:hint="eastAsia" w:ascii="仿宋_GB2312" w:hAnsi="仿宋" w:eastAsia="仿宋_GB2312" w:cs="仿宋"/>
          <w:kern w:val="0"/>
          <w:sz w:val="32"/>
          <w:szCs w:val="32"/>
          <w:shd w:val="clear" w:color="auto" w:fill="FFFFFF"/>
        </w:rPr>
      </w:pPr>
    </w:p>
    <w:p w14:paraId="01A8E778">
      <w:pPr>
        <w:ind w:firstLine="640" w:firstLineChars="20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为强化农资打假工作，保障农业生产和农产品质量安全，维护农民合法权益，进一步推进随机抽查和行政执法效能，依据上级相关“双随机”及农资打假文件精神，结合我县农业生产实际，制定本抽查计划：</w:t>
      </w:r>
    </w:p>
    <w:p w14:paraId="1ECF80CC">
      <w:pPr>
        <w:ind w:firstLine="640" w:firstLineChars="20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一、时间安排</w:t>
      </w:r>
    </w:p>
    <w:p w14:paraId="3B82BEF7">
      <w:pPr>
        <w:rPr>
          <w:rFonts w:ascii="仿宋_GB2312" w:hAnsi="仿宋" w:eastAsia="仿宋_GB2312" w:cs="仿宋"/>
          <w:kern w:val="0"/>
          <w:sz w:val="32"/>
          <w:szCs w:val="32"/>
          <w:shd w:val="clear" w:color="auto" w:fill="FFFFFF"/>
        </w:rPr>
      </w:pPr>
      <w:r>
        <w:rPr>
          <w:rFonts w:ascii="仿宋_GB2312" w:hAnsi="仿宋" w:eastAsia="仿宋_GB2312" w:cs="仿宋"/>
          <w:kern w:val="0"/>
          <w:sz w:val="32"/>
          <w:szCs w:val="32"/>
          <w:shd w:val="clear" w:color="auto" w:fill="FFFFFF"/>
        </w:rPr>
        <w:t>202</w:t>
      </w:r>
      <w:r>
        <w:rPr>
          <w:rFonts w:hint="eastAsia" w:ascii="仿宋_GB2312" w:hAnsi="仿宋" w:eastAsia="仿宋_GB2312" w:cs="仿宋"/>
          <w:kern w:val="0"/>
          <w:sz w:val="32"/>
          <w:szCs w:val="32"/>
          <w:shd w:val="clear" w:color="auto" w:fill="FFFFFF"/>
          <w:lang w:val="en-US" w:eastAsia="zh-CN"/>
        </w:rPr>
        <w:t>5</w:t>
      </w:r>
      <w:r>
        <w:rPr>
          <w:rFonts w:hint="eastAsia" w:ascii="仿宋_GB2312" w:hAnsi="仿宋" w:eastAsia="仿宋_GB2312" w:cs="仿宋"/>
          <w:kern w:val="0"/>
          <w:sz w:val="32"/>
          <w:szCs w:val="32"/>
          <w:shd w:val="clear" w:color="auto" w:fill="FFFFFF"/>
        </w:rPr>
        <w:t>年</w:t>
      </w:r>
      <w:r>
        <w:rPr>
          <w:rFonts w:hint="eastAsia" w:ascii="仿宋_GB2312" w:hAnsi="仿宋" w:eastAsia="仿宋_GB2312" w:cs="仿宋"/>
          <w:kern w:val="0"/>
          <w:sz w:val="32"/>
          <w:szCs w:val="32"/>
          <w:shd w:val="clear" w:color="auto" w:fill="FFFFFF"/>
          <w:lang w:val="en-US" w:eastAsia="zh-CN"/>
        </w:rPr>
        <w:t>5</w:t>
      </w:r>
      <w:r>
        <w:rPr>
          <w:rFonts w:hint="eastAsia" w:ascii="仿宋_GB2312" w:hAnsi="仿宋" w:eastAsia="仿宋_GB2312" w:cs="仿宋"/>
          <w:kern w:val="0"/>
          <w:sz w:val="32"/>
          <w:szCs w:val="32"/>
          <w:shd w:val="clear" w:color="auto" w:fill="FFFFFF"/>
        </w:rPr>
        <w:t>月</w:t>
      </w:r>
      <w:r>
        <w:rPr>
          <w:rFonts w:ascii="仿宋_GB2312" w:hAnsi="仿宋" w:eastAsia="仿宋_GB2312"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以</w:t>
      </w:r>
      <w:r>
        <w:rPr>
          <w:rFonts w:hint="eastAsia" w:ascii="仿宋_GB2312" w:hAnsi="仿宋" w:eastAsia="仿宋_GB2312" w:cs="仿宋"/>
          <w:kern w:val="0"/>
          <w:sz w:val="32"/>
          <w:szCs w:val="32"/>
          <w:shd w:val="clear" w:color="auto" w:fill="FFFFFF"/>
          <w:lang w:eastAsia="zh-CN"/>
        </w:rPr>
        <w:t>畜产品质量安全监督检查、农药</w:t>
      </w:r>
      <w:r>
        <w:rPr>
          <w:rFonts w:hint="eastAsia" w:ascii="仿宋_GB2312" w:hAnsi="仿宋" w:eastAsia="仿宋_GB2312" w:cs="仿宋"/>
          <w:kern w:val="0"/>
          <w:sz w:val="32"/>
          <w:szCs w:val="32"/>
          <w:shd w:val="clear" w:color="auto" w:fill="FFFFFF"/>
        </w:rPr>
        <w:t>经营门</w:t>
      </w:r>
      <w:r>
        <w:rPr>
          <w:rFonts w:hint="eastAsia" w:ascii="仿宋_GB2312" w:hAnsi="仿宋" w:eastAsia="仿宋_GB2312" w:cs="仿宋"/>
          <w:kern w:val="0"/>
          <w:sz w:val="32"/>
          <w:szCs w:val="32"/>
          <w:shd w:val="clear" w:color="auto" w:fill="FFFFFF"/>
          <w:lang w:eastAsia="zh-CN"/>
        </w:rPr>
        <w:t>点检查、种子市场监督检查、兽药质量监督检查、饲料、饲料添加剂监督检查</w:t>
      </w:r>
      <w:r>
        <w:rPr>
          <w:rFonts w:hint="eastAsia" w:ascii="仿宋_GB2312" w:hAnsi="仿宋" w:eastAsia="仿宋_GB2312" w:cs="仿宋"/>
          <w:kern w:val="0"/>
          <w:sz w:val="32"/>
          <w:szCs w:val="32"/>
          <w:shd w:val="clear" w:color="auto" w:fill="FFFFFF"/>
        </w:rPr>
        <w:t>为重点。</w:t>
      </w:r>
    </w:p>
    <w:p w14:paraId="51AB3BB5">
      <w:pPr>
        <w:ind w:firstLine="640" w:firstLineChars="200"/>
        <w:rPr>
          <w:rFonts w:ascii="仿宋_GB2312" w:hAnsi="宋体" w:eastAsia="仿宋_GB2312" w:cs="黑体"/>
          <w:sz w:val="32"/>
          <w:szCs w:val="32"/>
        </w:rPr>
      </w:pPr>
      <w:r>
        <w:rPr>
          <w:rFonts w:hint="eastAsia" w:ascii="仿宋_GB2312" w:hAnsi="宋体" w:eastAsia="仿宋_GB2312" w:cs="黑体"/>
          <w:sz w:val="32"/>
          <w:szCs w:val="32"/>
        </w:rPr>
        <w:t>二、抽查方式和比例</w:t>
      </w:r>
    </w:p>
    <w:p w14:paraId="4FFCCA7A">
      <w:pPr>
        <w:ind w:firstLine="480" w:firstLineChars="150"/>
        <w:rPr>
          <w:rStyle w:val="6"/>
          <w:rFonts w:ascii="仿宋_GB2312" w:eastAsia="仿宋_GB2312"/>
          <w:b w:val="0"/>
          <w:sz w:val="32"/>
          <w:szCs w:val="32"/>
        </w:rPr>
      </w:pPr>
      <w:r>
        <w:rPr>
          <w:rFonts w:hint="eastAsia" w:ascii="仿宋_GB2312" w:hAnsi="????_gbk" w:eastAsia="仿宋_GB2312" w:cs="????_gbk"/>
          <w:color w:val="000000"/>
          <w:kern w:val="0"/>
          <w:sz w:val="32"/>
          <w:szCs w:val="32"/>
          <w:shd w:val="clear" w:color="auto" w:fill="FFFFFF"/>
        </w:rPr>
        <w:t>本次抽查为不定向抽查，</w:t>
      </w:r>
      <w:r>
        <w:rPr>
          <w:rStyle w:val="6"/>
          <w:rFonts w:hint="eastAsia" w:ascii="仿宋_GB2312" w:eastAsia="仿宋_GB2312"/>
          <w:b w:val="0"/>
          <w:sz w:val="32"/>
          <w:szCs w:val="32"/>
        </w:rPr>
        <w:t>按照</w:t>
      </w:r>
      <w:r>
        <w:rPr>
          <w:rStyle w:val="6"/>
          <w:rFonts w:ascii="仿宋_GB2312" w:eastAsia="仿宋_GB2312"/>
          <w:b w:val="0"/>
          <w:sz w:val="32"/>
          <w:szCs w:val="32"/>
        </w:rPr>
        <w:t>15%</w:t>
      </w:r>
      <w:r>
        <w:rPr>
          <w:rStyle w:val="6"/>
          <w:rFonts w:hint="eastAsia" w:ascii="仿宋_GB2312" w:eastAsia="仿宋_GB2312"/>
          <w:b w:val="0"/>
          <w:sz w:val="32"/>
          <w:szCs w:val="32"/>
        </w:rPr>
        <w:t>的比例在市场主体</w:t>
      </w:r>
      <w:r>
        <w:rPr>
          <w:rFonts w:hint="eastAsia" w:ascii="仿宋_GB2312" w:hAnsi="仿宋_GB2312" w:eastAsia="仿宋_GB2312" w:cs="仿宋_GB2312"/>
          <w:sz w:val="32"/>
          <w:szCs w:val="32"/>
          <w:shd w:val="clear" w:color="auto" w:fill="FFFFFF"/>
        </w:rPr>
        <w:t>检查对象名录库中</w:t>
      </w:r>
      <w:r>
        <w:rPr>
          <w:rStyle w:val="6"/>
          <w:rFonts w:hint="eastAsia" w:ascii="仿宋_GB2312" w:eastAsia="仿宋_GB2312"/>
          <w:b w:val="0"/>
          <w:sz w:val="32"/>
          <w:szCs w:val="32"/>
        </w:rPr>
        <w:t>抽取，作为检查对象</w:t>
      </w:r>
    </w:p>
    <w:p w14:paraId="7DBC70C5">
      <w:pPr>
        <w:pStyle w:val="3"/>
        <w:widowControl/>
        <w:numPr>
          <w:ilvl w:val="0"/>
          <w:numId w:val="1"/>
        </w:numPr>
        <w:spacing w:beforeAutospacing="0" w:afterAutospacing="0"/>
        <w:ind w:firstLine="640" w:firstLineChars="200"/>
        <w:rPr>
          <w:rFonts w:hint="eastAsia" w:ascii="仿宋_GB2312" w:eastAsia="仿宋_GB2312" w:cs="黑体"/>
          <w:sz w:val="32"/>
          <w:szCs w:val="32"/>
        </w:rPr>
      </w:pPr>
      <w:r>
        <w:rPr>
          <w:rFonts w:hint="eastAsia" w:ascii="仿宋_GB2312" w:eastAsia="仿宋_GB2312" w:cs="黑体"/>
          <w:sz w:val="32"/>
          <w:szCs w:val="32"/>
        </w:rPr>
        <w:t>抽查步骤</w:t>
      </w:r>
    </w:p>
    <w:p w14:paraId="6DE812A3">
      <w:pPr>
        <w:pStyle w:val="3"/>
        <w:widowControl/>
        <w:numPr>
          <w:ilvl w:val="0"/>
          <w:numId w:val="0"/>
        </w:numPr>
        <w:spacing w:beforeAutospacing="0" w:afterAutospacing="0"/>
        <w:ind w:firstLine="640" w:firstLineChars="200"/>
        <w:rPr>
          <w:rFonts w:hint="eastAsia" w:ascii="仿宋_GB2312" w:eastAsia="仿宋_GB2312" w:cs="黑体"/>
          <w:sz w:val="32"/>
          <w:szCs w:val="32"/>
        </w:rPr>
      </w:pPr>
      <w:r>
        <w:rPr>
          <w:rFonts w:hint="eastAsia" w:ascii="仿宋_GB2312" w:eastAsia="仿宋_GB2312" w:cs="黑体"/>
          <w:sz w:val="32"/>
          <w:szCs w:val="32"/>
        </w:rPr>
        <w:t>（一）抽取检查对象名单。市市场监管局依托国家企业信用信息公示系统（河南）（以下简称公示系统），统一随机抽取市场主体。根据下派的任务县局依照登记注册机关所在地将检查对象建立若干个市场主体检查对象名录库，分派至各管辖单位。</w:t>
      </w:r>
    </w:p>
    <w:p w14:paraId="2069EDA4">
      <w:pPr>
        <w:pStyle w:val="3"/>
        <w:widowControl/>
        <w:numPr>
          <w:ilvl w:val="0"/>
          <w:numId w:val="0"/>
        </w:numPr>
        <w:spacing w:beforeAutospacing="0" w:afterAutospacing="0"/>
        <w:ind w:firstLine="640" w:firstLineChars="200"/>
        <w:rPr>
          <w:rFonts w:hint="eastAsia" w:ascii="仿宋_GB2312" w:eastAsia="仿宋_GB2312" w:cs="黑体"/>
          <w:sz w:val="32"/>
          <w:szCs w:val="32"/>
        </w:rPr>
      </w:pPr>
      <w:r>
        <w:rPr>
          <w:rFonts w:hint="eastAsia" w:ascii="仿宋_GB2312" w:eastAsia="仿宋_GB2312" w:cs="黑体"/>
          <w:sz w:val="32"/>
          <w:szCs w:val="32"/>
        </w:rPr>
        <w:t>（二）匹配执法人员。县局根据各管辖单位人员情况，及时更新执法人员库，并完成执法人员匹配工作。人员匹配时，应依照工作职责并综合考虑地理环境、人员配备、业务专长、保障水平等因素因地制宜随机匹配，充分发挥每名执法人员的专业特长，提高抽查效能。</w:t>
      </w:r>
    </w:p>
    <w:p w14:paraId="6CF612CD">
      <w:pPr>
        <w:pStyle w:val="3"/>
        <w:widowControl/>
        <w:numPr>
          <w:ilvl w:val="0"/>
          <w:numId w:val="0"/>
        </w:numPr>
        <w:spacing w:beforeAutospacing="0" w:afterAutospacing="0"/>
        <w:ind w:firstLine="640" w:firstLineChars="200"/>
        <w:rPr>
          <w:rFonts w:hint="eastAsia" w:ascii="仿宋_GB2312" w:eastAsia="仿宋_GB2312" w:cs="黑体"/>
          <w:sz w:val="32"/>
          <w:szCs w:val="32"/>
        </w:rPr>
      </w:pPr>
      <w:r>
        <w:rPr>
          <w:rFonts w:hint="eastAsia" w:ascii="仿宋_GB2312" w:eastAsia="仿宋_GB2312" w:cs="黑体"/>
          <w:sz w:val="32"/>
          <w:szCs w:val="32"/>
        </w:rPr>
        <w:t>（三）实施检查。按照依法行政的原则，综合采取书面检查、网络监测、检验检测、现场检查等多种方式实施。可委托有资质的专业机构开展审计、验资、咨询等相关工作，可依法利用其他政府部门作出的检查、核查结果或者专业机构作出的专业结论。</w:t>
      </w:r>
    </w:p>
    <w:p w14:paraId="220ED45A">
      <w:pPr>
        <w:pStyle w:val="3"/>
        <w:widowControl/>
        <w:numPr>
          <w:ilvl w:val="0"/>
          <w:numId w:val="0"/>
        </w:numPr>
        <w:spacing w:beforeAutospacing="0" w:afterAutospacing="0"/>
        <w:ind w:firstLine="640" w:firstLineChars="200"/>
        <w:rPr>
          <w:rFonts w:hint="eastAsia" w:ascii="仿宋_GB2312" w:eastAsia="仿宋_GB2312" w:cs="黑体"/>
          <w:sz w:val="32"/>
          <w:szCs w:val="32"/>
        </w:rPr>
      </w:pPr>
      <w:r>
        <w:rPr>
          <w:rFonts w:hint="eastAsia" w:ascii="仿宋_GB2312" w:eastAsia="仿宋_GB2312" w:cs="黑体"/>
          <w:sz w:val="32"/>
          <w:szCs w:val="32"/>
        </w:rPr>
        <w:t>（四）结果公示。各执法人员应在抽查检查完成之日起20个工作日内，按照“谁检查、谁录入”的原则，将抽查检查结果归集到市场主体名下，并通过公示系统向社会公示。已实施检查但未进行公示的，视为未完成抽查检查。法律法规对检查结果公示另有规定的，可根据相关程序进行。</w:t>
      </w:r>
    </w:p>
    <w:p w14:paraId="5943009A">
      <w:pPr>
        <w:pStyle w:val="2"/>
        <w:spacing w:beforeLines="50" w:afterLines="50"/>
      </w:pPr>
    </w:p>
    <w:p w14:paraId="14F19103">
      <w:pPr>
        <w:pBdr>
          <w:bottom w:val="single" w:color="FFFFFF" w:sz="4" w:space="31"/>
        </w:pBdr>
        <w:tabs>
          <w:tab w:val="left" w:pos="1440"/>
        </w:tabs>
        <w:overflowPunct w:val="0"/>
        <w:spacing w:beforeLines="50" w:afterLines="50" w:line="560" w:lineRule="exact"/>
        <w:ind w:firstLine="640" w:firstLineChars="200"/>
        <w:jc w:val="center"/>
        <w:textAlignment w:val="baseline"/>
        <w:rPr>
          <w:rFonts w:hint="eastAsia" w:ascii="仿宋_GB2312" w:eastAsia="仿宋_GB2312"/>
          <w:snapToGrid w:val="0"/>
          <w:kern w:val="0"/>
          <w:sz w:val="32"/>
          <w:szCs w:val="32"/>
        </w:rPr>
      </w:pPr>
      <w:r>
        <w:rPr>
          <w:rFonts w:hint="eastAsia" w:ascii="仿宋_GB2312" w:eastAsia="仿宋_GB2312"/>
          <w:snapToGrid w:val="0"/>
          <w:kern w:val="0"/>
          <w:sz w:val="32"/>
          <w:szCs w:val="32"/>
        </w:rPr>
        <w:t xml:space="preserve">                       </w:t>
      </w:r>
    </w:p>
    <w:p w14:paraId="17A106C9">
      <w:pPr>
        <w:pBdr>
          <w:bottom w:val="single" w:color="FFFFFF" w:sz="4" w:space="31"/>
        </w:pBdr>
        <w:tabs>
          <w:tab w:val="left" w:pos="1440"/>
        </w:tabs>
        <w:overflowPunct w:val="0"/>
        <w:spacing w:beforeLines="50" w:afterLines="50" w:line="560" w:lineRule="exact"/>
        <w:jc w:val="both"/>
        <w:textAlignment w:val="baseline"/>
        <w:rPr>
          <w:rFonts w:hint="eastAsia" w:ascii="仿宋_GB2312" w:eastAsia="仿宋_GB2312"/>
          <w:snapToGrid w:val="0"/>
          <w:kern w:val="0"/>
          <w:sz w:val="32"/>
          <w:szCs w:val="32"/>
        </w:rPr>
      </w:pPr>
    </w:p>
    <w:p w14:paraId="2E5C7255">
      <w:pPr>
        <w:pBdr>
          <w:bottom w:val="single" w:color="FFFFFF" w:sz="4" w:space="31"/>
        </w:pBdr>
        <w:tabs>
          <w:tab w:val="left" w:pos="1440"/>
        </w:tabs>
        <w:overflowPunct w:val="0"/>
        <w:spacing w:beforeLines="50" w:afterLines="50" w:line="560" w:lineRule="exact"/>
        <w:ind w:firstLine="640" w:firstLineChars="200"/>
        <w:jc w:val="center"/>
        <w:textAlignment w:val="baseline"/>
        <w:rPr>
          <w:rFonts w:hint="eastAsia" w:ascii="仿宋_GB2312" w:eastAsia="仿宋_GB2312"/>
          <w:snapToGrid w:val="0"/>
          <w:kern w:val="0"/>
          <w:sz w:val="32"/>
          <w:szCs w:val="32"/>
        </w:rPr>
      </w:pPr>
    </w:p>
    <w:p w14:paraId="01CD2281">
      <w:pPr>
        <w:pBdr>
          <w:bottom w:val="single" w:color="FFFFFF" w:sz="4" w:space="31"/>
        </w:pBdr>
        <w:tabs>
          <w:tab w:val="left" w:pos="1440"/>
        </w:tabs>
        <w:overflowPunct w:val="0"/>
        <w:spacing w:beforeLines="50" w:afterLines="50" w:line="560" w:lineRule="exact"/>
        <w:ind w:firstLine="640" w:firstLineChars="200"/>
        <w:jc w:val="center"/>
        <w:textAlignment w:val="baseline"/>
        <w:rPr>
          <w:rFonts w:ascii="仿宋_GB2312" w:eastAsia="仿宋_GB2312"/>
          <w:snapToGrid w:val="0"/>
          <w:kern w:val="0"/>
          <w:sz w:val="32"/>
          <w:szCs w:val="32"/>
        </w:rPr>
      </w:pPr>
      <w:r>
        <w:rPr>
          <w:rFonts w:hint="eastAsia" w:ascii="仿宋_GB2312" w:eastAsia="仿宋_GB2312"/>
          <w:snapToGrid w:val="0"/>
          <w:kern w:val="0"/>
          <w:sz w:val="32"/>
          <w:szCs w:val="32"/>
          <w:lang w:val="en-US" w:eastAsia="zh-CN"/>
        </w:rPr>
        <w:t xml:space="preserve">                        </w:t>
      </w:r>
      <w:r>
        <w:rPr>
          <w:rFonts w:hint="eastAsia" w:ascii="仿宋_GB2312" w:eastAsia="仿宋_GB2312"/>
          <w:snapToGrid w:val="0"/>
          <w:kern w:val="0"/>
          <w:sz w:val="32"/>
          <w:szCs w:val="32"/>
        </w:rPr>
        <w:t xml:space="preserve"> 尉氏县农业农村局</w:t>
      </w:r>
    </w:p>
    <w:p w14:paraId="25FE83B5">
      <w:pPr>
        <w:pBdr>
          <w:bottom w:val="single" w:color="FFFFFF" w:sz="4" w:space="31"/>
        </w:pBdr>
        <w:tabs>
          <w:tab w:val="left" w:pos="1440"/>
        </w:tabs>
        <w:overflowPunct w:val="0"/>
        <w:spacing w:beforeLines="50" w:afterLines="50" w:line="560" w:lineRule="exact"/>
        <w:ind w:firstLine="640" w:firstLineChars="200"/>
        <w:jc w:val="center"/>
        <w:textAlignment w:val="baseline"/>
      </w:pPr>
      <w:r>
        <w:rPr>
          <w:rFonts w:hint="eastAsia" w:ascii="仿宋_GB2312" w:eastAsia="仿宋_GB2312"/>
          <w:snapToGrid w:val="0"/>
          <w:kern w:val="0"/>
          <w:sz w:val="32"/>
          <w:szCs w:val="32"/>
        </w:rPr>
        <w:t xml:space="preserve">                          202</w:t>
      </w:r>
      <w:r>
        <w:rPr>
          <w:rFonts w:hint="eastAsia" w:ascii="仿宋_GB2312" w:eastAsia="仿宋_GB2312"/>
          <w:snapToGrid w:val="0"/>
          <w:kern w:val="0"/>
          <w:sz w:val="32"/>
          <w:szCs w:val="32"/>
          <w:lang w:val="en-US" w:eastAsia="zh-CN"/>
        </w:rPr>
        <w:t>5</w:t>
      </w:r>
      <w:bookmarkStart w:id="0" w:name="_GoBack"/>
      <w:bookmarkEnd w:id="0"/>
      <w:r>
        <w:rPr>
          <w:rFonts w:hint="eastAsia" w:ascii="仿宋_GB2312" w:eastAsia="仿宋_GB2312"/>
          <w:snapToGrid w:val="0"/>
          <w:kern w:val="0"/>
          <w:sz w:val="32"/>
          <w:szCs w:val="32"/>
        </w:rPr>
        <w:t>年</w:t>
      </w:r>
      <w:r>
        <w:rPr>
          <w:rFonts w:hint="eastAsia" w:ascii="仿宋_GB2312" w:eastAsia="仿宋_GB2312"/>
          <w:snapToGrid w:val="0"/>
          <w:kern w:val="0"/>
          <w:sz w:val="32"/>
          <w:szCs w:val="32"/>
          <w:lang w:val="en-US" w:eastAsia="zh-CN"/>
        </w:rPr>
        <w:t>4</w:t>
      </w:r>
      <w:r>
        <w:rPr>
          <w:rFonts w:hint="eastAsia" w:ascii="仿宋_GB2312" w:eastAsia="仿宋_GB2312"/>
          <w:snapToGrid w:val="0"/>
          <w:kern w:val="0"/>
          <w:sz w:val="32"/>
          <w:szCs w:val="32"/>
        </w:rPr>
        <w:t>月</w:t>
      </w:r>
      <w:r>
        <w:rPr>
          <w:rFonts w:hint="eastAsia" w:ascii="仿宋_GB2312" w:eastAsia="仿宋_GB2312"/>
          <w:snapToGrid w:val="0"/>
          <w:kern w:val="0"/>
          <w:sz w:val="32"/>
          <w:szCs w:val="32"/>
          <w:lang w:val="en-US" w:eastAsia="zh-CN"/>
        </w:rPr>
        <w:t>20</w:t>
      </w:r>
      <w:r>
        <w:rPr>
          <w:rFonts w:hint="eastAsia" w:ascii="仿宋_GB2312" w:eastAsia="仿宋_GB2312"/>
          <w:snapToGrid w:val="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k">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C3C97"/>
    <w:multiLevelType w:val="singleLevel"/>
    <w:tmpl w:val="BD2C3C9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jZjU5NmJiYmQ2NzlkM2FkYzAxOGZhODUyYWFjMDQifQ=="/>
  </w:docVars>
  <w:rsids>
    <w:rsidRoot w:val="00830AC9"/>
    <w:rsid w:val="003E15D9"/>
    <w:rsid w:val="00830AC9"/>
    <w:rsid w:val="008A740C"/>
    <w:rsid w:val="008E2C43"/>
    <w:rsid w:val="00A875D0"/>
    <w:rsid w:val="00B62D2C"/>
    <w:rsid w:val="00C03DD2"/>
    <w:rsid w:val="00E72715"/>
    <w:rsid w:val="033939CA"/>
    <w:rsid w:val="039B4FD1"/>
    <w:rsid w:val="0A0F6D07"/>
    <w:rsid w:val="0CDA6521"/>
    <w:rsid w:val="0CF066B3"/>
    <w:rsid w:val="10C242E1"/>
    <w:rsid w:val="133F563E"/>
    <w:rsid w:val="16A50553"/>
    <w:rsid w:val="1ACB3B93"/>
    <w:rsid w:val="1CA656D3"/>
    <w:rsid w:val="1E1B6CFB"/>
    <w:rsid w:val="20520CEF"/>
    <w:rsid w:val="20F9153E"/>
    <w:rsid w:val="2E8549D2"/>
    <w:rsid w:val="3BAE3189"/>
    <w:rsid w:val="40751F53"/>
    <w:rsid w:val="4270326A"/>
    <w:rsid w:val="466C0BA2"/>
    <w:rsid w:val="490A65EC"/>
    <w:rsid w:val="49711D85"/>
    <w:rsid w:val="4EEE34C7"/>
    <w:rsid w:val="53AC3F06"/>
    <w:rsid w:val="565F7E9F"/>
    <w:rsid w:val="5A6B2FC0"/>
    <w:rsid w:val="609A346E"/>
    <w:rsid w:val="62F40474"/>
    <w:rsid w:val="69505BC3"/>
    <w:rsid w:val="6A8114B0"/>
    <w:rsid w:val="6B013A61"/>
    <w:rsid w:val="70B6404C"/>
    <w:rsid w:val="77A40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
    <w:qFormat/>
    <w:uiPriority w:val="99"/>
    <w:pPr>
      <w:spacing w:after="120"/>
    </w:pPr>
    <w:rPr>
      <w:rFonts w:ascii="Calibri" w:hAnsi="Calibri" w:eastAsia="宋体" w:cs="Times New Roman"/>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99"/>
    <w:rPr>
      <w:rFonts w:cs="Times New Roman"/>
      <w:b/>
      <w:bCs/>
    </w:rPr>
  </w:style>
  <w:style w:type="character" w:customStyle="1" w:styleId="7">
    <w:name w:val="正文文本 Char"/>
    <w:basedOn w:val="5"/>
    <w:link w:val="2"/>
    <w:qFormat/>
    <w:uiPriority w:val="99"/>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713</Words>
  <Characters>726</Characters>
  <Lines>2</Lines>
  <Paragraphs>1</Paragraphs>
  <TotalTime>6</TotalTime>
  <ScaleCrop>false</ScaleCrop>
  <LinksUpToDate>false</LinksUpToDate>
  <CharactersWithSpaces>801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2020-02-28T00:25:00Z</dcterms:created>
  <dc:creator>admin</dc:creator>
  <cp:lastModifiedBy>Administrator</cp:lastModifiedBy>
  <cp:lastPrinted>2020-03-27T03:38:00Z</cp:lastPrinted>
  <dcterms:modified xsi:type="dcterms:W3CDTF">2025-06-11T01:02:39Z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89A2816E1AA24C98AF3FB6C767E818BF</vt:lpwstr>
  </property>
  <property fmtid="{D5CDD505-2E9C-101B-9397-08002B2CF9AE}" pid="4" name="KSOTemplateDocerSaveRecord">
    <vt:lpwstr>eyJoZGlkIjoiM2M3MzI3MjBjODc3ZWFkMjVkZDRjZGU1MzRjN2ViYWEifQ==</vt:lpwstr>
  </property>
</Properties>
</file>