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96"/>
        </w:tabs>
        <w:bidi w:val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检查标准</w:t>
      </w:r>
    </w:p>
    <w:tbl>
      <w:tblPr>
        <w:tblStyle w:val="3"/>
        <w:tblW w:w="9063" w:type="dxa"/>
        <w:tblInd w:w="4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3348"/>
        <w:gridCol w:w="3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8" w:type="dxa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348" w:type="dxa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行政检查事项名称</w:t>
            </w:r>
          </w:p>
        </w:tc>
        <w:tc>
          <w:tcPr>
            <w:tcW w:w="3277" w:type="dxa"/>
            <w:noWrap w:val="0"/>
            <w:vAlign w:val="top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对建筑业企业资质管理的行政检查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以《建筑业企业资质管理规定》为核心，核查资产、人员、业绩、装备等，重点核查人员社保、设备台账等基础条件，通过动态核查强化事中事后监管。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对工程造价咨询业务行为及注册建造师执业的行政检查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以《工程造价咨询企业管理办法》《注册建造师管理规定》为核心，核查资质条件、执业规范及质量标准，通过动态核查强化事中事后监管。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8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对民用建筑、绿色建筑工作的行政检查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以《绿色建筑评价标准》《民用建筑节能条例》为核心，核查星级分级、技术指标及全过程管理等，重点核查设计文件合规性、绿色建材使用及能耗数据上报情况，通过动态核查强化事中事后监管。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对房屋市政工程工程质量的行政检查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以《建设工程质量管理条例》为核心，核查质量责任、验收标准及终身追责机制等，重点核查原材料质量、实体性能及验收程序，通过动态核查强化事中事后监管。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对建设工程抗震设防强制性标准执行情况的行政检查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以《建设工程抗震管理条例》为核心，核查抗震设防标准、质量责任及终身追责机制，重点核查设计文件合规性、材料使用及验收程序，通过动态核查强化事中事后监管。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对建设工程消防设计审查、消防验收、备案等的行政检查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以《中华人民共和国消防法》为核心，核查消防设计审查、验收、备案的流程及质量责任，重点核查消防设计合规性、材料使用及验收程序，通过动态核查强化事中事后监管。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对工程项目执行工程建设强制性标准情况的行政检查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以《建设工程质量管理条例》为核心，核查强制性标准的法律地位及质量责任，重点核查设计文件合规性、材料使用及验收程序，通过动态核查强化事中事后监管。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对房屋市政工程安全生产及施工的行政检查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以《建设工程安全生产管理条例》为核心，核查安全生产责任及动态核查机制，重点核查危大工程管控、人员资质及现场防护，通过智慧化手段提升监管效能。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对房地产开发、经纪、租赁、以及物业服务、估价师执业活动等的行政检查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以《城市房地产管理法》为核心，核查各领域的基本规则和责任体系，重点核查资质合规性、服务质量及资金管理，通过动态核查强化事中事后监管。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348" w:type="dxa"/>
            <w:noWrap w:val="0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对建设工程勘察、设计、监理、施工图审查活动及相关资质的行政检查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以《建设工程勘察设计管理条例》为核心，核查勘察设计、监理、审查的基本规则和责任体系，重点核查资质合规性、文件质量及现场执行情况，通过动态核查强化事中事后监管。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TA4ZTI4OTg2M2U2ZmJiN2I3ZjgwYTliZTU2ZjIifQ=="/>
  </w:docVars>
  <w:rsids>
    <w:rsidRoot w:val="00000000"/>
    <w:rsid w:val="10405D73"/>
    <w:rsid w:val="252A5B77"/>
    <w:rsid w:val="532C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SI仿宋-GB2312" w:hAnsi="CESI仿宋-GB2312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2025-08-26T08:02:00Z</dcterms:created>
  <dc:creator>Lenovo</dc:creator>
  <cp:lastModifiedBy>小木匠mojito</cp:lastModifiedBy>
  <dcterms:modified xsi:type="dcterms:W3CDTF">2025-10-30T02:17:28Z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KSOTemplateDocerSaveRecord">
    <vt:lpwstr>eyJoZGlkIjoiZWEwOGVmZmM2N2NlZDYyOGI1OWQ3OGE0NmYxZTE3NzkiLCJ1c2VySWQiOiIxNjM2NjA3NDc4In0=</vt:lpwstr>
  </property>
  <property fmtid="{D5CDD505-2E9C-101B-9397-08002B2CF9AE}" pid="4" name="ICV">
    <vt:lpwstr>7DD3220E49364CA89CE0E5B21E3A2EB6_12</vt:lpwstr>
  </property>
</Properties>
</file>