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D3F2">
      <w:pPr>
        <w:rPr>
          <w:rFonts w:hint="default"/>
        </w:rPr>
      </w:pPr>
      <w:bookmarkStart w:id="0" w:name="_GoBack"/>
      <w:bookmarkEnd w:id="0"/>
    </w:p>
    <w:p w14:paraId="1ED51512">
      <w:pPr>
        <w:rPr>
          <w:rFonts w:hint="default"/>
        </w:rPr>
      </w:pPr>
    </w:p>
    <w:p w14:paraId="33207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14" w:lineRule="atLeast"/>
        <w:ind w:left="0" w:right="0" w:firstLine="420"/>
        <w:jc w:val="center"/>
        <w:rPr>
          <w:rFonts w:ascii="Calibri" w:hAnsi="Calibri" w:cs="Calibri"/>
          <w:color w:val="656565"/>
          <w:sz w:val="56"/>
          <w:szCs w:val="56"/>
        </w:rPr>
      </w:pPr>
      <w:r>
        <w:rPr>
          <w:rFonts w:hint="default" w:ascii="Calibri" w:hAnsi="Calibri" w:cs="Calibri"/>
          <w:color w:val="656565"/>
          <w:sz w:val="56"/>
          <w:szCs w:val="56"/>
          <w:bdr w:val="none" w:color="auto" w:sz="0" w:space="0"/>
        </w:rPr>
        <w:t>检查频次上限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5"/>
        <w:gridCol w:w="2772"/>
        <w:gridCol w:w="2772"/>
      </w:tblGrid>
      <w:tr w14:paraId="147F53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A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  <w:bdr w:val="none" w:color="auto" w:sz="0" w:space="0"/>
              </w:rPr>
              <w:t>序号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6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  <w:bdr w:val="none" w:color="auto" w:sz="0" w:space="0"/>
              </w:rPr>
              <w:t>行政检查事项名称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0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cs="Calibri"/>
                <w:color w:val="656565"/>
                <w:sz w:val="40"/>
                <w:szCs w:val="40"/>
                <w:bdr w:val="none" w:color="auto" w:sz="0" w:space="0"/>
              </w:rPr>
              <w:t>频次上线</w:t>
            </w:r>
          </w:p>
        </w:tc>
      </w:tr>
      <w:tr w14:paraId="7BC97E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2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9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对单用途商业企业预付卡抽查检查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3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每年一次</w:t>
            </w:r>
          </w:p>
        </w:tc>
      </w:tr>
      <w:tr w14:paraId="220F61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7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B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对商务领域使用、报告一次性塑料制品企业抽查检查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F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每年一次</w:t>
            </w:r>
          </w:p>
        </w:tc>
      </w:tr>
      <w:tr w14:paraId="58693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6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4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对报废机动车回收拆解企业抽查检查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8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每年一次</w:t>
            </w:r>
          </w:p>
        </w:tc>
      </w:tr>
      <w:tr w14:paraId="73AA0E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5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9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对汽车销售企业抽查检查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B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42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每年一次</w:t>
            </w:r>
          </w:p>
        </w:tc>
      </w:tr>
      <w:tr w14:paraId="0A520C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E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3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对成品油流通企业的抽查检查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3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4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color w:val="656565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每年一次</w:t>
            </w:r>
          </w:p>
        </w:tc>
      </w:tr>
    </w:tbl>
    <w:p w14:paraId="78CBFB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14" w:lineRule="atLeast"/>
        <w:ind w:left="0" w:right="0" w:firstLine="420"/>
        <w:jc w:val="center"/>
        <w:rPr>
          <w:rFonts w:hint="default" w:ascii="Calibri" w:hAnsi="Calibri" w:cs="Calibri"/>
          <w:color w:val="656565"/>
          <w:sz w:val="48"/>
          <w:szCs w:val="48"/>
        </w:rPr>
      </w:pPr>
    </w:p>
    <w:p w14:paraId="779CD4DA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A54D73"/>
    <w:rsid w:val="AEA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2025-10-28T17:11:00Z</dcterms:created>
  <dc:creator>流星</dc:creator>
  <cp:lastModifiedBy>流星</cp:lastModifiedBy>
  <dcterms:modified xsi:type="dcterms:W3CDTF">2025-10-28T17:12:29Z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2052-12.1.3.23538</vt:lpwstr>
  </property>
  <property fmtid="{D5CDD505-2E9C-101B-9397-08002B2CF9AE}" pid="3" name="ICV">
    <vt:lpwstr>A04D6D705B716368C0880069BEF3528C_41</vt:lpwstr>
  </property>
</Properties>
</file>