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Calibri" w:hAnsi="Calibri" w:cs="Calibri"/>
          <w:color w:val="656565"/>
          <w:sz w:val="20"/>
          <w:szCs w:val="20"/>
        </w:rPr>
      </w:pPr>
      <w:r>
        <w:rPr>
          <w:rFonts w:hint="eastAsia" w:ascii="宋体" w:hAnsi="宋体" w:eastAsia="宋体" w:cs="宋体"/>
          <w:b/>
          <w:bCs/>
          <w:color w:val="000000"/>
          <w:kern w:val="0"/>
          <w:sz w:val="43"/>
          <w:szCs w:val="43"/>
          <w:lang w:val="en-US" w:eastAsia="zh-CN" w:bidi="ar"/>
        </w:rPr>
        <w:t>尉氏</w:t>
      </w:r>
      <w:r>
        <w:rPr>
          <w:rFonts w:ascii="宋体" w:hAnsi="宋体" w:eastAsia="宋体" w:cs="宋体"/>
          <w:b/>
          <w:bCs/>
          <w:color w:val="000000"/>
          <w:kern w:val="0"/>
          <w:sz w:val="43"/>
          <w:szCs w:val="43"/>
          <w:lang w:val="en-US" w:eastAsia="zh-CN" w:bidi="ar"/>
        </w:rPr>
        <w:t>县发展和改革委员会涉企行政检查事项和依据</w:t>
      </w:r>
    </w:p>
    <w:tbl>
      <w:tblPr>
        <w:tblStyle w:val="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74"/>
        <w:gridCol w:w="1952"/>
        <w:gridCol w:w="55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8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default" w:ascii="Calibri" w:hAnsi="Calibri" w:cs="Calibri"/>
                <w:color w:val="656565"/>
                <w:sz w:val="40"/>
                <w:szCs w:val="40"/>
              </w:rPr>
            </w:pPr>
            <w:bookmarkStart w:id="0" w:name="_GoBack"/>
            <w:bookmarkEnd w:id="0"/>
            <w:r>
              <w:rPr>
                <w:rFonts w:hint="default" w:ascii="Calibri" w:hAnsi="Calibri" w:cs="Calibri"/>
                <w:color w:val="656565"/>
                <w:sz w:val="40"/>
                <w:szCs w:val="40"/>
              </w:rPr>
              <w:t>序号</w:t>
            </w:r>
          </w:p>
        </w:tc>
        <w:tc>
          <w:tcPr>
            <w:tcW w:w="2000"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default" w:ascii="Calibri" w:hAnsi="Calibri" w:cs="Calibri"/>
                <w:color w:val="656565"/>
                <w:sz w:val="40"/>
                <w:szCs w:val="40"/>
              </w:rPr>
            </w:pPr>
            <w:r>
              <w:rPr>
                <w:rFonts w:hint="default" w:ascii="Calibri" w:hAnsi="Calibri" w:cs="Calibri"/>
                <w:color w:val="656565"/>
                <w:sz w:val="40"/>
                <w:szCs w:val="40"/>
              </w:rPr>
              <w:t>行政检查事项名称</w:t>
            </w:r>
          </w:p>
        </w:tc>
        <w:tc>
          <w:tcPr>
            <w:tcW w:w="57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default" w:ascii="Calibri" w:hAnsi="Calibri" w:cs="Calibri"/>
                <w:color w:val="656565"/>
                <w:sz w:val="40"/>
                <w:szCs w:val="40"/>
              </w:rPr>
            </w:pPr>
            <w:r>
              <w:rPr>
                <w:rFonts w:hint="default" w:ascii="Calibri" w:hAnsi="Calibri" w:cs="Calibri"/>
                <w:color w:val="656565"/>
                <w:sz w:val="40"/>
                <w:szCs w:val="40"/>
              </w:rPr>
              <w:t>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8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default" w:ascii="Calibri" w:hAnsi="Calibri" w:cs="Calibri"/>
                <w:color w:val="656565"/>
                <w:sz w:val="20"/>
                <w:szCs w:val="20"/>
              </w:rPr>
            </w:pPr>
            <w:r>
              <w:rPr>
                <w:rFonts w:hint="default" w:ascii="Calibri" w:hAnsi="Calibri" w:cs="Calibri"/>
                <w:color w:val="656565"/>
                <w:sz w:val="20"/>
                <w:szCs w:val="20"/>
              </w:rPr>
              <w:t>1</w:t>
            </w:r>
          </w:p>
        </w:tc>
        <w:tc>
          <w:tcPr>
            <w:tcW w:w="2000"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default" w:ascii="Calibri" w:hAnsi="Calibri" w:cs="Calibri"/>
                <w:color w:val="656565"/>
                <w:sz w:val="20"/>
                <w:szCs w:val="20"/>
              </w:rPr>
            </w:pPr>
            <w:r>
              <w:rPr>
                <w:rFonts w:hint="default" w:ascii="Calibri" w:hAnsi="Calibri" w:cs="Calibri"/>
                <w:color w:val="656565"/>
                <w:sz w:val="20"/>
                <w:szCs w:val="20"/>
              </w:rPr>
              <w:t>对固定资产投资项目节能审查情况的行政检查</w:t>
            </w:r>
          </w:p>
        </w:tc>
        <w:tc>
          <w:tcPr>
            <w:tcW w:w="57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default" w:ascii="Calibri" w:hAnsi="Calibri" w:cs="Calibri"/>
                <w:color w:val="656565"/>
                <w:sz w:val="20"/>
                <w:szCs w:val="20"/>
              </w:rPr>
            </w:pPr>
            <w:r>
              <w:rPr>
                <w:rFonts w:hint="default" w:ascii="Calibri" w:hAnsi="Calibri" w:cs="Calibri"/>
                <w:color w:val="656565"/>
                <w:sz w:val="20"/>
                <w:szCs w:val="20"/>
              </w:rPr>
              <w:t>《中华人民共和国节约能源法》第十五条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固定资产投资项目节能审查办法》第三条 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通过的项目，建设单位不得开工建设，已经建成的不得投入生产、使用。《固定资产投资项目节能审查办法》第十七条第一款 固定资产投资项目投入生产、使用前，应对项目节能报告中的生产工艺、用能设备、节能技术采用情况以及节能审查意见落实情况进行验收，并编制节能验收报告。实行告知承诺管理的项目，应对项目承诺内容以及区域节能审查意见落实情况进行验收。分期建设、投入生产使用的项目，应分期进行节能验收。未经节能验收或验收不合格的项目，不得投入生产、使用。《固定资产投资项目节能审查办法》第二十五条 未落实节能审查意见要求的固定资产投资项目，由节能审查机关责令建设单位限期整改。不能整改或逾期不整改的，由节能审查机关按照法律法规的有关规定进行处罚。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8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default" w:ascii="Calibri" w:hAnsi="Calibri" w:cs="Calibri"/>
                <w:color w:val="656565"/>
                <w:sz w:val="20"/>
                <w:szCs w:val="20"/>
              </w:rPr>
            </w:pPr>
            <w:r>
              <w:rPr>
                <w:rFonts w:hint="default" w:ascii="Calibri" w:hAnsi="Calibri" w:cs="Calibri"/>
                <w:color w:val="656565"/>
                <w:sz w:val="20"/>
                <w:szCs w:val="20"/>
              </w:rPr>
              <w:t>2</w:t>
            </w:r>
          </w:p>
        </w:tc>
        <w:tc>
          <w:tcPr>
            <w:tcW w:w="2000"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default" w:ascii="Calibri" w:hAnsi="Calibri" w:cs="Calibri"/>
                <w:color w:val="656565"/>
                <w:sz w:val="20"/>
                <w:szCs w:val="20"/>
              </w:rPr>
            </w:pPr>
            <w:r>
              <w:rPr>
                <w:rFonts w:hint="default" w:ascii="Calibri" w:hAnsi="Calibri" w:cs="Calibri"/>
                <w:color w:val="656565"/>
                <w:sz w:val="20"/>
                <w:szCs w:val="20"/>
              </w:rPr>
              <w:t>对重点用能单位节能工作情况的行政检查</w:t>
            </w:r>
          </w:p>
        </w:tc>
        <w:tc>
          <w:tcPr>
            <w:tcW w:w="57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default" w:ascii="Calibri" w:hAnsi="Calibri" w:cs="Calibri"/>
                <w:color w:val="656565"/>
                <w:sz w:val="20"/>
                <w:szCs w:val="20"/>
              </w:rPr>
            </w:pPr>
            <w:r>
              <w:rPr>
                <w:rFonts w:hint="default" w:ascii="Calibri" w:hAnsi="Calibri" w:cs="Calibri"/>
                <w:color w:val="656565"/>
                <w:sz w:val="20"/>
                <w:szCs w:val="20"/>
              </w:rPr>
              <w:t>《中华人民共和国节约能源法》第十六条第二款 生产过程中耗能高的产品的生产单位，应当执行单位产品能耗限额标准。对超过单位产品能耗限额标准用能的生产单位，由管理节能工作的部门按照国务院规定的权限责令限期治理。《中华人民共和国节约能源法》第五十三条 重点用能单位应当每年向管理节能工作的部门报送上年度的能源利用状况报告。能源利用状况包括能源消费情况、能源利用效率、节能目标完成情况和节能效益分析、节能措施等内容。《中华人民共和国节约能源法》第五十四条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重点用能单位节能管理办法》第二十六条第一款 对节能管理制度不健全、节能措施不落实、能源利用效率低的重点用能单位，管理节能工作的部门应当开展现场调查，组织实施用能设备能源效率检测，责令实施能源审计，并提出书面整改要求，限期整改。重点用能单位无正当理由拒不落实整改要求或者整改没有达到要求的，由管理节能工作的部门处十万元以上三十万元以下罚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8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default" w:ascii="Calibri" w:hAnsi="Calibri" w:cs="Calibri"/>
                <w:color w:val="656565"/>
                <w:sz w:val="20"/>
                <w:szCs w:val="20"/>
              </w:rPr>
            </w:pPr>
            <w:r>
              <w:rPr>
                <w:rFonts w:hint="default" w:ascii="Calibri" w:hAnsi="Calibri" w:cs="Calibri"/>
                <w:color w:val="656565"/>
                <w:sz w:val="20"/>
                <w:szCs w:val="20"/>
              </w:rPr>
              <w:t>3</w:t>
            </w:r>
          </w:p>
        </w:tc>
        <w:tc>
          <w:tcPr>
            <w:tcW w:w="2000"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default" w:ascii="Calibri" w:hAnsi="Calibri" w:cs="Calibri"/>
                <w:color w:val="656565"/>
                <w:sz w:val="20"/>
                <w:szCs w:val="20"/>
              </w:rPr>
            </w:pPr>
            <w:r>
              <w:rPr>
                <w:rFonts w:hint="default" w:ascii="Calibri" w:hAnsi="Calibri" w:cs="Calibri"/>
                <w:color w:val="656565"/>
                <w:sz w:val="20"/>
                <w:szCs w:val="20"/>
              </w:rPr>
              <w:t>对企业投资建设固定资产投资项目相关行为的行政检查</w:t>
            </w:r>
          </w:p>
        </w:tc>
        <w:tc>
          <w:tcPr>
            <w:tcW w:w="57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default" w:ascii="Calibri" w:hAnsi="Calibri" w:cs="Calibri"/>
                <w:color w:val="656565"/>
                <w:sz w:val="20"/>
                <w:szCs w:val="20"/>
              </w:rPr>
            </w:pPr>
            <w:r>
              <w:rPr>
                <w:rFonts w:hint="default" w:ascii="Calibri" w:hAnsi="Calibri" w:cs="Calibri"/>
                <w:color w:val="656565"/>
                <w:sz w:val="20"/>
                <w:szCs w:val="20"/>
              </w:rPr>
              <w:t>《企业投资项目核准和备案管理条例》第十五条 备案机关发现已备案项目属于产业政策禁止投资建设或者实行核准管理的，应当及时告知企业予以纠正或者依法办理核准手续，并通知有关部门。《企业投资项目核准和备案管理条例》第十六条第一款 核准机关、备案机关以及依法对项目负有监督管理职责的其他有关部门应当加强事中事后监管，按照谁审批谁监管、谁主管谁监管的原则，落实监管责任，采取在线监测、现场核查等方式，加强对项目实施的监督检查。《企业投资项目核准和备案管理办法》第四十六条第一款 项目核准和备案机关、行业管理、城乡规划（建设）、国家安全、国土（海洋）资源、环境保护、节能审查、金融监管、安全生产监管、审计等部门，应当按照谁审批谁监管、谁主管谁监管的原则，采取在线监测、现场核查等方式，依法加强对项目的事中事后监管。项目核准、备案机关应当根据法律法规和发展规划、产业政策、总量控制目标、技术政策、准入标准及相关环保要求等，对项目进行监管。《企业投资项目核准和备案管理办法》第五十条第二款 项目开工前，项目单位应当登录在线平台报备项目开工基本信息。项目开工后，项目单位应当按年度在线报备项目建设动态进度基本信息。项目竣工验收后，项目单位应当在线报备项目竣工基本信息。《企业投资项目事中事后监管办法》第三条第一款 项目事中事后监管是指各级发展改革部门对项目开工前是否依法取得核准批复文件或者办理备案手续，并在开工后是否按照核准批复文件或者备案内容进行建设的监督管理。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0"/>
              <w:jc w:val="center"/>
              <w:rPr>
                <w:rFonts w:hint="default" w:ascii="Calibri" w:hAnsi="Calibri" w:cs="Calibri"/>
                <w:color w:val="656565"/>
                <w:sz w:val="40"/>
                <w:szCs w:val="4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NTA4ZTI4OTg2M2U2ZmJiN2I3ZjgwYTliZTU2ZjIifQ=="/>
  </w:docVars>
  <w:rsids>
    <w:rsidRoot w:val="04FB2A0C"/>
    <w:rsid w:val="04FB2A0C"/>
    <w:rsid w:val="1F147764"/>
    <w:rsid w:val="58692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2025-10-28T08:35:00Z</dcterms:created>
  <dc:creator>陌</dc:creator>
  <cp:lastModifiedBy>小木匠mojito</cp:lastModifiedBy>
  <dcterms:modified xsi:type="dcterms:W3CDTF">2025-10-30T02:00:24Z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88A13E817AAC43DFA744ABE14A1EF41D_13</vt:lpwstr>
  </property>
  <property fmtid="{D5CDD505-2E9C-101B-9397-08002B2CF9AE}" pid="4" name="KSOTemplateDocerSaveRecord">
    <vt:lpwstr>eyJoZGlkIjoiNWRkM2MwZTg1YWJmZGY5NGI4NDExMjZjNGI2MDA4YzEiLCJ1c2VySWQiOiI4MTE4NDU0NDYifQ==</vt:lpwstr>
  </property>
</Properties>
</file>