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仿宋_GB2312"/>
        </w:rPr>
      </w:pPr>
      <w:r>
        <w:rPr>
          <w:rFonts w:hint="eastAsia" w:ascii="黑体" w:hAnsi="黑体" w:eastAsia="黑体" w:cs="仿宋_GB2312"/>
        </w:rPr>
        <w:t>附件</w:t>
      </w:r>
      <w:r>
        <w:rPr>
          <w:rFonts w:hint="eastAsia" w:ascii="黑体" w:hAnsi="黑体" w:eastAsia="黑体" w:cs="仿宋_GB2312"/>
          <w:lang w:val="en-US" w:eastAsia="zh-CN"/>
        </w:rPr>
        <w:t>1</w:t>
      </w:r>
      <w:r>
        <w:rPr>
          <w:rFonts w:hint="eastAsia" w:ascii="黑体" w:hAnsi="黑体" w:eastAsia="黑体" w:cs="仿宋_GB2312"/>
        </w:rPr>
        <w:t>：</w:t>
      </w:r>
    </w:p>
    <w:p>
      <w:pPr>
        <w:pStyle w:val="2"/>
        <w:jc w:val="center"/>
        <w:rPr>
          <w:rFonts w:hint="eastAsia" w:ascii="Times New Roman" w:hAnsi="Times New Roman"/>
          <w:spacing w:val="11"/>
        </w:rPr>
      </w:pPr>
      <w:bookmarkStart w:id="0" w:name="_GoBack"/>
      <w:r>
        <w:rPr>
          <w:rFonts w:hint="eastAsia" w:ascii="方正小标宋简体" w:hAnsi="方正小标宋简体" w:eastAsia="方正小标宋简体" w:cs="方正小标宋简体"/>
          <w:spacing w:val="11"/>
          <w:sz w:val="36"/>
          <w:szCs w:val="36"/>
          <w:lang w:eastAsia="zh-CN"/>
        </w:rPr>
        <w:t>尉氏县</w:t>
      </w:r>
      <w:r>
        <w:rPr>
          <w:rFonts w:hint="eastAsia" w:ascii="方正小标宋简体" w:hAnsi="方正小标宋简体" w:eastAsia="方正小标宋简体" w:cs="方正小标宋简体"/>
          <w:spacing w:val="11"/>
          <w:sz w:val="36"/>
          <w:szCs w:val="36"/>
        </w:rPr>
        <w:t>乡镇政府行使的行政处罚权事项清单</w:t>
      </w:r>
    </w:p>
    <w:bookmarkEnd w:id="0"/>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705"/>
        <w:gridCol w:w="338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blHeader/>
        </w:trPr>
        <w:tc>
          <w:tcPr>
            <w:tcW w:w="657" w:type="dxa"/>
            <w:noWrap w:val="0"/>
            <w:vAlign w:val="center"/>
          </w:tcPr>
          <w:p>
            <w:pPr>
              <w:widowControl/>
              <w:adjustRightInd w:val="0"/>
              <w:snapToGrid w:val="0"/>
              <w:spacing w:line="260" w:lineRule="exact"/>
              <w:jc w:val="center"/>
              <w:textAlignment w:val="center"/>
            </w:pPr>
            <w:r>
              <w:rPr>
                <w:rFonts w:hint="eastAsia" w:ascii="黑体" w:hAnsi="黑体" w:eastAsia="黑体" w:cs="黑体"/>
                <w:kern w:val="0"/>
                <w:szCs w:val="21"/>
              </w:rPr>
              <w:t>序号</w:t>
            </w:r>
          </w:p>
        </w:tc>
        <w:tc>
          <w:tcPr>
            <w:tcW w:w="3705" w:type="dxa"/>
            <w:noWrap w:val="0"/>
            <w:vAlign w:val="center"/>
          </w:tcPr>
          <w:p>
            <w:pPr>
              <w:widowControl/>
              <w:adjustRightInd w:val="0"/>
              <w:snapToGrid w:val="0"/>
              <w:spacing w:line="260" w:lineRule="exact"/>
              <w:jc w:val="center"/>
              <w:textAlignment w:val="center"/>
            </w:pPr>
            <w:r>
              <w:rPr>
                <w:rFonts w:hint="eastAsia" w:ascii="黑体" w:hAnsi="黑体" w:eastAsia="黑体" w:cs="黑体"/>
                <w:kern w:val="0"/>
                <w:szCs w:val="21"/>
              </w:rPr>
              <w:t>赋权事项</w:t>
            </w:r>
          </w:p>
        </w:tc>
        <w:tc>
          <w:tcPr>
            <w:tcW w:w="3387" w:type="dxa"/>
            <w:noWrap w:val="0"/>
            <w:vAlign w:val="center"/>
          </w:tcPr>
          <w:p>
            <w:pPr>
              <w:widowControl/>
              <w:adjustRightInd w:val="0"/>
              <w:snapToGrid w:val="0"/>
              <w:spacing w:line="260" w:lineRule="exact"/>
              <w:jc w:val="center"/>
              <w:textAlignment w:val="center"/>
            </w:pPr>
            <w:r>
              <w:rPr>
                <w:rFonts w:hint="eastAsia" w:ascii="黑体" w:hAnsi="黑体" w:eastAsia="黑体" w:cs="黑体"/>
                <w:kern w:val="0"/>
                <w:szCs w:val="21"/>
              </w:rPr>
              <w:t>实施依据</w:t>
            </w:r>
          </w:p>
        </w:tc>
        <w:tc>
          <w:tcPr>
            <w:tcW w:w="1306" w:type="dxa"/>
            <w:noWrap w:val="0"/>
            <w:vAlign w:val="center"/>
          </w:tcPr>
          <w:p>
            <w:pPr>
              <w:widowControl/>
              <w:adjustRightInd w:val="0"/>
              <w:snapToGrid w:val="0"/>
              <w:spacing w:line="260" w:lineRule="exact"/>
              <w:jc w:val="center"/>
              <w:textAlignment w:val="center"/>
              <w:rPr>
                <w:rFonts w:hint="eastAsia" w:eastAsia="黑体"/>
              </w:rPr>
            </w:pPr>
            <w:r>
              <w:rPr>
                <w:rFonts w:hint="eastAsia" w:ascii="黑体" w:hAnsi="黑体" w:eastAsia="黑体" w:cs="黑体"/>
                <w:kern w:val="0"/>
                <w:szCs w:val="21"/>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ascii="宋体" w:hAnsi="宋体" w:cs="宋体"/>
                <w:kern w:val="0"/>
                <w:szCs w:val="21"/>
              </w:rPr>
              <w:t>对占用耕地建窑、建坟或者擅自在耕地上建房、挖砂、采石、采矿、取土等，破坏种植条件的处罚</w:t>
            </w:r>
          </w:p>
        </w:tc>
        <w:tc>
          <w:tcPr>
            <w:tcW w:w="3387" w:type="dxa"/>
            <w:noWrap w:val="0"/>
            <w:vAlign w:val="center"/>
          </w:tcPr>
          <w:p>
            <w:pPr>
              <w:widowControl/>
              <w:adjustRightInd w:val="0"/>
              <w:snapToGrid w:val="0"/>
              <w:spacing w:line="260" w:lineRule="exact"/>
              <w:textAlignment w:val="center"/>
              <w:rPr>
                <w:rFonts w:ascii="宋体" w:hAnsi="宋体" w:cs="宋体"/>
                <w:kern w:val="0"/>
                <w:szCs w:val="21"/>
              </w:rPr>
            </w:pPr>
            <w:r>
              <w:rPr>
                <w:rFonts w:ascii="宋体" w:hAnsi="宋体" w:cs="宋体"/>
                <w:kern w:val="0"/>
                <w:szCs w:val="21"/>
              </w:rPr>
              <w:t>1. 《中华人民共和国土地管理法》第七十五条</w:t>
            </w:r>
          </w:p>
          <w:p>
            <w:pPr>
              <w:widowControl/>
              <w:adjustRightInd w:val="0"/>
              <w:snapToGrid w:val="0"/>
              <w:spacing w:line="260" w:lineRule="exact"/>
              <w:textAlignment w:val="center"/>
              <w:rPr>
                <w:rFonts w:hint="eastAsia" w:ascii="宋体" w:hAnsi="宋体" w:cs="宋体"/>
                <w:kern w:val="0"/>
                <w:szCs w:val="21"/>
              </w:rPr>
            </w:pPr>
            <w:r>
              <w:rPr>
                <w:rFonts w:ascii="宋体" w:hAnsi="宋体" w:cs="宋体"/>
                <w:kern w:val="0"/>
                <w:szCs w:val="21"/>
              </w:rPr>
              <w:t>2. 《中华人民共和国土地管理法实施条例》第五十五条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w:t>
            </w:r>
            <w:r>
              <w:rPr>
                <w:rFonts w:hint="eastAsia" w:ascii="宋体" w:hAnsi="宋体" w:cs="宋体"/>
                <w:kern w:val="0"/>
                <w:szCs w:val="21"/>
                <w:lang w:eastAsia="zh-CN"/>
              </w:rPr>
              <w:t>自然资源局</w:t>
            </w:r>
            <w:r>
              <w:rPr>
                <w:rFonts w:hint="eastAsia" w:ascii="宋体" w:hAnsi="宋体" w:cs="宋体"/>
                <w:kern w:val="0"/>
                <w:szCs w:val="21"/>
              </w:rPr>
              <w:t>、</w:t>
            </w:r>
            <w:r>
              <w:rPr>
                <w:rFonts w:hint="eastAsia" w:ascii="宋体" w:hAnsi="宋体" w:cs="宋体"/>
                <w:kern w:val="0"/>
                <w:szCs w:val="21"/>
                <w:lang w:val="en-US" w:eastAsia="zh-CN"/>
              </w:rPr>
              <w:t>县</w:t>
            </w:r>
            <w:r>
              <w:rPr>
                <w:rFonts w:hint="eastAsia" w:ascii="宋体" w:hAnsi="宋体" w:cs="宋体"/>
                <w:kern w:val="0"/>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对依法收回国有土地使用权当事人拒不交出土地的，临时使用土地期满拒不归还的，或者不按照批准的用途使用国有土地的处罚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1.《中华人民共和国土地管理法》第八十一条</w:t>
            </w:r>
          </w:p>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2.《中华人民共和国土地管理法实施条例》第五十九条</w:t>
            </w:r>
          </w:p>
        </w:tc>
        <w:tc>
          <w:tcPr>
            <w:tcW w:w="1306" w:type="dxa"/>
            <w:noWrap w:val="0"/>
            <w:vAlign w:val="center"/>
          </w:tcPr>
          <w:p>
            <w:pPr>
              <w:widowControl/>
              <w:adjustRightInd w:val="0"/>
              <w:snapToGrid w:val="0"/>
              <w:spacing w:line="260" w:lineRule="exact"/>
              <w:jc w:val="center"/>
              <w:textAlignment w:val="center"/>
              <w:rPr>
                <w:rFonts w:hint="eastAsia" w:ascii="宋体" w:hAnsi="宋体" w:eastAsia="宋体" w:cs="宋体"/>
                <w:kern w:val="0"/>
                <w:szCs w:val="21"/>
                <w:lang w:eastAsia="zh-CN"/>
              </w:rPr>
            </w:pPr>
            <w:r>
              <w:rPr>
                <w:rFonts w:hint="eastAsia" w:ascii="宋体" w:hAnsi="宋体" w:cs="宋体"/>
                <w:kern w:val="0"/>
                <w:szCs w:val="21"/>
              </w:rPr>
              <w:t>县</w:t>
            </w:r>
            <w:r>
              <w:rPr>
                <w:rFonts w:hint="eastAsia" w:ascii="宋体" w:hAnsi="宋体" w:cs="宋体"/>
                <w:kern w:val="0"/>
                <w:szCs w:val="21"/>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对擅自将农民集体所有的土地通过出让、转让使用权或者出租等方式用于非农业建设，或者违反规定将集体经营性建设用地通过出让、出租等方式交由单位或者个人使用的处罚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1.《中华人民共和国土地管理法》第八十二条</w:t>
            </w:r>
          </w:p>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2.《中华人民共和国土地管理法实施条例》第六十条</w:t>
            </w:r>
          </w:p>
        </w:tc>
        <w:tc>
          <w:tcPr>
            <w:tcW w:w="1306" w:type="dxa"/>
            <w:noWrap w:val="0"/>
            <w:vAlign w:val="center"/>
          </w:tcPr>
          <w:p>
            <w:pPr>
              <w:widowControl/>
              <w:adjustRightInd w:val="0"/>
              <w:snapToGrid w:val="0"/>
              <w:spacing w:line="260" w:lineRule="exact"/>
              <w:jc w:val="center"/>
              <w:textAlignment w:val="center"/>
              <w:rPr>
                <w:rFonts w:hint="eastAsia" w:ascii="宋体" w:hAnsi="宋体" w:eastAsia="宋体" w:cs="宋体"/>
                <w:kern w:val="0"/>
                <w:szCs w:val="21"/>
                <w:lang w:eastAsia="zh-CN"/>
              </w:rPr>
            </w:pPr>
            <w:r>
              <w:rPr>
                <w:rFonts w:hint="eastAsia" w:ascii="宋体" w:hAnsi="宋体" w:cs="宋体"/>
                <w:kern w:val="0"/>
                <w:szCs w:val="21"/>
              </w:rPr>
              <w:t>县</w:t>
            </w:r>
            <w:r>
              <w:rPr>
                <w:rFonts w:hint="eastAsia" w:ascii="宋体" w:hAnsi="宋体" w:cs="宋体"/>
                <w:kern w:val="0"/>
                <w:szCs w:val="21"/>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对非法占用永久基本农田发展林果业或者挖塘养鱼的处罚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《中华人民共和国土地管理法实施条例》第五十一条　</w:t>
            </w:r>
          </w:p>
        </w:tc>
        <w:tc>
          <w:tcPr>
            <w:tcW w:w="1306" w:type="dxa"/>
            <w:noWrap w:val="0"/>
            <w:vAlign w:val="center"/>
          </w:tcPr>
          <w:p>
            <w:pPr>
              <w:widowControl/>
              <w:adjustRightInd w:val="0"/>
              <w:snapToGrid w:val="0"/>
              <w:spacing w:line="260" w:lineRule="exact"/>
              <w:jc w:val="center"/>
              <w:textAlignment w:val="center"/>
              <w:rPr>
                <w:rFonts w:hint="eastAsia" w:ascii="宋体" w:hAnsi="宋体" w:eastAsia="宋体" w:cs="宋体"/>
                <w:kern w:val="0"/>
                <w:szCs w:val="21"/>
                <w:lang w:eastAsia="zh-CN"/>
              </w:rPr>
            </w:pPr>
            <w:r>
              <w:rPr>
                <w:rFonts w:hint="eastAsia" w:ascii="宋体" w:hAnsi="宋体" w:cs="宋体"/>
                <w:kern w:val="0"/>
                <w:szCs w:val="21"/>
              </w:rPr>
              <w:t>县</w:t>
            </w:r>
            <w:r>
              <w:rPr>
                <w:rFonts w:hint="eastAsia" w:ascii="宋体" w:hAnsi="宋体" w:cs="宋体"/>
                <w:kern w:val="0"/>
                <w:szCs w:val="21"/>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对在临时使用的土地上修建永久性建筑物的处罚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《中华人民共和国土地管理法实施条例》第五十二条</w:t>
            </w:r>
          </w:p>
        </w:tc>
        <w:tc>
          <w:tcPr>
            <w:tcW w:w="1306" w:type="dxa"/>
            <w:noWrap w:val="0"/>
            <w:vAlign w:val="center"/>
          </w:tcPr>
          <w:p>
            <w:pPr>
              <w:widowControl/>
              <w:adjustRightInd w:val="0"/>
              <w:snapToGrid w:val="0"/>
              <w:spacing w:line="260" w:lineRule="exact"/>
              <w:jc w:val="center"/>
              <w:textAlignment w:val="center"/>
              <w:rPr>
                <w:rFonts w:hint="eastAsia" w:ascii="宋体" w:hAnsi="宋体" w:eastAsia="宋体" w:cs="宋体"/>
                <w:kern w:val="0"/>
                <w:szCs w:val="21"/>
                <w:lang w:eastAsia="zh-CN"/>
              </w:rPr>
            </w:pPr>
            <w:r>
              <w:rPr>
                <w:rFonts w:hint="eastAsia" w:ascii="宋体" w:hAnsi="宋体" w:cs="宋体"/>
                <w:kern w:val="0"/>
                <w:szCs w:val="21"/>
              </w:rPr>
              <w:t>县</w:t>
            </w:r>
            <w:r>
              <w:rPr>
                <w:rFonts w:hint="eastAsia" w:ascii="宋体" w:hAnsi="宋体" w:cs="宋体"/>
                <w:kern w:val="0"/>
                <w:szCs w:val="21"/>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对占用基本农田建窑、建房、建坟、挖砂、采石、采矿、取土、堆放固体废弃物或者从事其他活动破坏基本农田，毁坏种植条件的处罚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《基本农田保护条例》第三十三条</w:t>
            </w:r>
          </w:p>
        </w:tc>
        <w:tc>
          <w:tcPr>
            <w:tcW w:w="1306" w:type="dxa"/>
            <w:noWrap w:val="0"/>
            <w:vAlign w:val="center"/>
          </w:tcPr>
          <w:p>
            <w:pPr>
              <w:widowControl/>
              <w:adjustRightInd w:val="0"/>
              <w:snapToGrid w:val="0"/>
              <w:spacing w:line="260" w:lineRule="exact"/>
              <w:jc w:val="center"/>
              <w:textAlignment w:val="center"/>
              <w:rPr>
                <w:rFonts w:hint="eastAsia" w:ascii="宋体" w:hAnsi="宋体" w:eastAsia="宋体" w:cs="宋体"/>
                <w:kern w:val="0"/>
                <w:szCs w:val="21"/>
                <w:lang w:eastAsia="zh-CN"/>
              </w:rPr>
            </w:pPr>
            <w:r>
              <w:rPr>
                <w:rFonts w:hint="eastAsia" w:ascii="宋体" w:hAnsi="宋体" w:cs="宋体"/>
                <w:kern w:val="0"/>
                <w:szCs w:val="21"/>
              </w:rPr>
              <w:t>县</w:t>
            </w:r>
            <w:r>
              <w:rPr>
                <w:rFonts w:hint="eastAsia" w:ascii="宋体" w:hAnsi="宋体" w:cs="宋体"/>
                <w:kern w:val="0"/>
                <w:szCs w:val="21"/>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对未密闭煤炭、煤矸石、煤渣、煤灰、水泥、石灰、石膏、砂土等易产生扬尘的物料的处罚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《中华人民共和国大气污染防治法》第一百一十七条第一项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lang w:eastAsia="zh-CN"/>
              </w:rPr>
              <w:t>市</w:t>
            </w:r>
            <w:r>
              <w:rPr>
                <w:rFonts w:hint="eastAsia" w:ascii="宋体" w:hAnsi="宋体" w:cs="宋体"/>
                <w:kern w:val="0"/>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8</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对不能密闭的易产生扬尘的物料，未设置不低于堆放物高度的严密围挡，或者未采取有效覆盖措施防治扬尘污染的处罚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《中华人民共和国大气污染防治法》第一百一十七条第二项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lang w:eastAsia="zh-CN"/>
              </w:rPr>
              <w:t>市</w:t>
            </w:r>
            <w:r>
              <w:rPr>
                <w:rFonts w:hint="eastAsia" w:ascii="宋体" w:hAnsi="宋体" w:cs="宋体"/>
                <w:kern w:val="0"/>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9</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对从事服装干洗和机动车维修等服务活动, 未设置异味和废气处理装置等污染防治设施并保持正常使用,影响周边环境的处罚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《中华人民共和国大气污染防治法》第一百二十条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10</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对在饮用水水源一级保护区内从事网箱养殖或者组织进行旅游、垂钓或者其他可能污染饮用水水体的活动的处罚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《中华人民共和国水污染防治法》第九十一条第二款</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对损毁、涂改或者擅自移动饮用水水源保护区的地理界标和警示标志的处罚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lang w:val="en"/>
              </w:rPr>
            </w:pPr>
            <w:r>
              <w:rPr>
                <w:rFonts w:hint="eastAsia" w:ascii="宋体" w:hAnsi="宋体" w:cs="宋体"/>
                <w:kern w:val="0"/>
                <w:szCs w:val="21"/>
              </w:rPr>
              <w:t>《河南省水污染防治条例》第八十条</w:t>
            </w:r>
            <w:r>
              <w:rPr>
                <w:rFonts w:hint="eastAsia" w:ascii="宋体" w:hAnsi="宋体" w:cs="宋体"/>
                <w:kern w:val="0"/>
                <w:szCs w:val="21"/>
                <w:lang w:val="en"/>
              </w:rPr>
              <w:t xml:space="preserve">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对在当地人民政府禁止的时段和区域内露天烧烤食品或者为露天烧烤食品提供场地的处罚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 xml:space="preserve">《中华人民共和国大气污染防治法》第一百一十八条第三款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对在人口集中地区露天焚烧秸秆、落叶等产生烟尘污染的物质的处罚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《中华人民共和国大气污染防治法》第一百一十九条第一款</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对个人随意倾倒、抛撒、堆放或者焚烧生活垃圾的处罚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《中华人民共和国固体废物污染环境防治法》第一百一十一条第一款第一项及第二款</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对不服从公共绿地管理单位管理的商业、服务摊点的处罚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《开封市城市绿化条例》第四十二条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对擅自采摘花果的处罚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《开封市城市绿化条例》第四十五条第一项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17</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对在城市绿地内倾倒垃圾、污水，堆放杂物，取土，停放车辆的处罚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《开封市城市绿化条例》第四十五条第二项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18</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对填封树坑、在树上钉钉、刻划、拴铁丝、敷设灯具的处罚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《开封市城市绿化条例》第四十五条第三项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19</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对在城市绿地内擅自搭建建筑物、构筑物的处罚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《开封市城市绿化条例》第四十五条第四项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20</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对剥刮树皮，挖掘、损毁花木、绿篱、草坪的处罚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《开封市城市绿化条例》第四十五条第五项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对损坏树木支架、栏杆、花坛、座椅、建筑小品、给排水等绿化设施的处罚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《开封市城市绿化条例》第四十五条第六项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对在主次干道临街建筑物屋顶、沿街立面敞开式走廊、未封闭阳台及窗外晾晒、吊挂和堆放物品的处罚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《开封市城市市容和环境卫生管理条例》第十一条第二款、第三十七条第一项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对在城市道路、桥梁、护栏、路牌、电线杆、路灯杆等设施或者树木上晾晒、吊挂物品、乱拉线缆的处罚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《开封市城市市容和环境卫生管理条例》第十八条第一款 、第三十七条第一项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对在城市建（构）筑物、设施及树木上涂写、刻画、粘贴的处罚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《开封市城市市容和环境卫生管理条例》第十八条第二款、第三十七条第一项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对在城市道路、广场、户外公共场所散发经营性广告及宣传品的处罚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《开封市城市市容和环境卫生管理条例》第十八条第二款、第三十七条第一项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对侵占、损坏或者擅自拆除、移动、封闭其他环境卫生设施的处罚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《开封市城市市容和环境卫生管理条例》第三十七条第五项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27</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对随地吐痰、便溺和乱泼污水，乱扔果皮（核）、纸屑、烟蒂、包装纸（袋、盒）、饮料罐（瓶、盒）、口香糖渣、废电池、动物尸体等废弃物的处罚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28</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对不按城市环境卫生行政主管部门规定的时间、地点、方式倾倒垃圾、粪便的处罚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《河南省〈城市市容和环境卫生管理条例〉实施办法》第三十条第四项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29</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对不履行卫生责任区清扫保洁的，或冬季不履行除雪义务的处罚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《河南省〈城市市容和环境卫生管理条例〉实施办法》第三十条第五项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30</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对运输液体、散装货物不作密封、包扎、覆盖造成泄露、遗撒的处罚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《河南省〈城市市容和环境卫生管理条例〉实施办法》第三十条第六项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对临街工地不设置护栏或者不作遮挡，停工场地不及时整理并作必要覆盖或者竣工后不及时清理和平整场地，影响市容和环境卫生的处罚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《河南省〈城市市容和环境卫生管理条例〉实施办法》第三十条第七项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对不按规定及时清运、处理粪便的处罚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《河南省〈城市市容和环境卫生管理条例〉实施办法》第三十条第八项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对在城市道路或人行道上从事各类作业后，不清除杂物、渣土、污水淤泥的处罚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《河南省〈城市市容和环境卫生管理条例〉实施办法》第三十条第九项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对在露天场所和垃圾收集容器内焚烧树枝（叶）、垃圾或者其他物品的处罚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《河南省〈城市市容和环境卫生管理条例〉实施办法》第三十条第十项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对擅自在街道两侧和其他公共场所临时堆放物料、摆摊设点影响市容的的处罚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《河南省〈城市市容和环境卫生管理条例〉实施办法》第三十二条第二项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对擅自在街道两侧和其他公共场所搭建非永久性建筑物、构筑物或者设置商亭等其他设施，影响市容的的处罚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《河南省〈城市市容和环境卫生管理条例〉实施办法》第三十二条第二项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lang w:val="en"/>
              </w:rPr>
            </w:pPr>
            <w:r>
              <w:rPr>
                <w:rFonts w:hint="eastAsia" w:ascii="宋体" w:hAnsi="宋体" w:cs="宋体"/>
                <w:kern w:val="0"/>
                <w:szCs w:val="21"/>
              </w:rPr>
              <w:t>37</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对不符合城市容貌标准、环境卫生标准的建筑物或者设施的处罚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《河南省〈城市市容和环境卫生管理条例〉实施办法》第三十三条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38</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对将建筑垃圾混入生活垃圾的处罚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 xml:space="preserve">《城市建筑垃圾管理规定》第二十条第一款第一项及第二款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39</w:t>
            </w:r>
          </w:p>
        </w:tc>
        <w:tc>
          <w:tcPr>
            <w:tcW w:w="3705" w:type="dxa"/>
            <w:noWrap w:val="0"/>
            <w:vAlign w:val="center"/>
          </w:tcPr>
          <w:p>
            <w:pPr>
              <w:widowControl/>
              <w:spacing w:line="0" w:lineRule="atLeast"/>
              <w:jc w:val="left"/>
              <w:textAlignment w:val="center"/>
              <w:rPr>
                <w:rFonts w:hint="eastAsia" w:ascii="宋体" w:hAnsi="宋体" w:cs="宋体"/>
                <w:color w:val="000000"/>
                <w:szCs w:val="21"/>
              </w:rPr>
            </w:pPr>
            <w:r>
              <w:rPr>
                <w:rFonts w:hint="eastAsia" w:ascii="宋体" w:hAnsi="宋体" w:cs="宋体"/>
                <w:kern w:val="0"/>
                <w:szCs w:val="21"/>
              </w:rPr>
              <w:t>对个人随意倾倒、抛撒或者堆放建筑垃圾的处罚</w:t>
            </w:r>
          </w:p>
        </w:tc>
        <w:tc>
          <w:tcPr>
            <w:tcW w:w="3387" w:type="dxa"/>
            <w:noWrap w:val="0"/>
            <w:vAlign w:val="center"/>
          </w:tcPr>
          <w:p>
            <w:pPr>
              <w:widowControl/>
              <w:spacing w:line="0" w:lineRule="atLeast"/>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kern w:val="0"/>
                <w:szCs w:val="21"/>
                <w:lang w:bidi="ar"/>
              </w:rPr>
              <w:t>城市建筑垃圾管理规定</w:t>
            </w:r>
            <w:r>
              <w:rPr>
                <w:rFonts w:hint="eastAsia" w:ascii="宋体" w:hAnsi="宋体" w:cs="宋体"/>
                <w:color w:val="000000"/>
                <w:kern w:val="0"/>
                <w:szCs w:val="21"/>
                <w:lang w:bidi="ar"/>
              </w:rPr>
              <w:t>》第二十六条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40</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对从事城市生活垃圾经营性清扫、收集、运输的企业未按照环境卫生作业标准和作业规范，未在规定的时间内及时清扫、收运城市生活垃圾的处罚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《城市生活垃圾管理办法》第二十条第一项、第四十五条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对从事城市生活垃圾经营性清扫、收集、运输的企业未将收集的城市生活垃圾运到直辖市、市、县人民政府建设(环境卫生)主管部门认可的处置场所的处罚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《城市生活垃圾管理办法》第二十条第二项、第四十五条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对从事城市生活垃圾经营性清扫、收集、运输的企业清扫、收运城市生活垃圾后,未对生活垃圾收集设施及时保洁、复位,清理作业场地,未保持生活垃圾收集设施和周边环境的干净整洁的处罚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 xml:space="preserve">《城市生活垃圾管理办法》第二十条第三项、第四十五条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对从事城市生活垃圾经营性清扫、收集、运输的企业用于收集、运输城市生活垃圾的车辆、船舶未做到密闭、完好和整洁的处罚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《城市生活垃圾管理办法》第二十条第四项、第四十五条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对造成公路路面损坏、污染或者影响公路畅通的处罚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 xml:space="preserve">《中华人民共和国公路法》第四十六条、第七十七条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w:t>
            </w:r>
            <w:r>
              <w:rPr>
                <w:rFonts w:hint="eastAsia" w:ascii="宋体" w:hAnsi="宋体" w:cs="宋体"/>
                <w:szCs w:val="21"/>
                <w:shd w:val="clear" w:color="auto" w:fill="FFFFFF"/>
              </w:rPr>
              <w:t>农村公路及其用地范围内</w:t>
            </w:r>
            <w:r>
              <w:rPr>
                <w:rFonts w:hint="eastAsia" w:ascii="宋体" w:hAnsi="宋体" w:cs="宋体"/>
                <w:kern w:val="0"/>
                <w:szCs w:val="21"/>
              </w:rPr>
              <w:t>设置障碍、挖沟引水、打场晒粮的处罚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《河南省农村公路条例》第四十一条</w:t>
            </w:r>
            <w:r>
              <w:rPr>
                <w:rFonts w:hint="eastAsia" w:ascii="宋体" w:hAnsi="宋体" w:cs="宋体"/>
                <w:kern w:val="0"/>
                <w:szCs w:val="21"/>
              </w:rPr>
              <w:t>第一项、</w:t>
            </w:r>
            <w:r>
              <w:rPr>
                <w:rFonts w:hint="eastAsia" w:ascii="宋体" w:hAnsi="宋体" w:cs="宋体"/>
                <w:szCs w:val="21"/>
                <w:shd w:val="clear" w:color="auto" w:fill="FFFFFF"/>
              </w:rPr>
              <w:t>第五十五条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w:t>
            </w:r>
            <w:r>
              <w:rPr>
                <w:rFonts w:hint="eastAsia" w:ascii="宋体" w:hAnsi="宋体" w:cs="宋体"/>
                <w:szCs w:val="21"/>
                <w:shd w:val="clear" w:color="auto" w:fill="FFFFFF"/>
              </w:rPr>
              <w:t>农村公路及其用地范围内</w:t>
            </w:r>
            <w:r>
              <w:rPr>
                <w:rFonts w:hint="eastAsia" w:ascii="宋体" w:hAnsi="宋体" w:cs="宋体"/>
                <w:kern w:val="0"/>
                <w:szCs w:val="21"/>
              </w:rPr>
              <w:t>从事修车洗车、摆摊设点、集市贸易等经营活动的处罚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《河南省农村公路条例》第四十一条</w:t>
            </w:r>
            <w:r>
              <w:rPr>
                <w:rFonts w:hint="eastAsia" w:ascii="宋体" w:hAnsi="宋体" w:cs="宋体"/>
                <w:kern w:val="0"/>
                <w:szCs w:val="21"/>
              </w:rPr>
              <w:t>第二项、</w:t>
            </w:r>
            <w:r>
              <w:rPr>
                <w:rFonts w:hint="eastAsia" w:ascii="宋体" w:hAnsi="宋体" w:cs="宋体"/>
                <w:szCs w:val="21"/>
                <w:shd w:val="clear" w:color="auto" w:fill="FFFFFF"/>
              </w:rPr>
              <w:t>第五十五条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47</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w:t>
            </w:r>
            <w:r>
              <w:rPr>
                <w:rFonts w:hint="eastAsia" w:ascii="宋体" w:hAnsi="宋体" w:cs="宋体"/>
                <w:szCs w:val="21"/>
                <w:shd w:val="clear" w:color="auto" w:fill="FFFFFF"/>
              </w:rPr>
              <w:t>农村公路及其用地范围内</w:t>
            </w:r>
            <w:r>
              <w:rPr>
                <w:rFonts w:hint="eastAsia" w:ascii="宋体" w:hAnsi="宋体" w:cs="宋体"/>
                <w:kern w:val="0"/>
                <w:szCs w:val="21"/>
              </w:rPr>
              <w:t>堆放物料、倾倒垃圾的处罚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《河南省农村公路条例》第四十一条</w:t>
            </w:r>
            <w:r>
              <w:rPr>
                <w:rFonts w:hint="eastAsia" w:ascii="宋体" w:hAnsi="宋体" w:cs="宋体"/>
                <w:kern w:val="0"/>
                <w:szCs w:val="21"/>
              </w:rPr>
              <w:t>第三项、</w:t>
            </w:r>
            <w:r>
              <w:rPr>
                <w:rFonts w:hint="eastAsia" w:ascii="宋体" w:hAnsi="宋体" w:cs="宋体"/>
                <w:szCs w:val="21"/>
                <w:shd w:val="clear" w:color="auto" w:fill="FFFFFF"/>
              </w:rPr>
              <w:t>第五十五条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48</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w:t>
            </w:r>
            <w:r>
              <w:rPr>
                <w:rFonts w:hint="eastAsia" w:ascii="宋体" w:hAnsi="宋体" w:cs="宋体"/>
                <w:szCs w:val="21"/>
                <w:shd w:val="clear" w:color="auto" w:fill="FFFFFF"/>
              </w:rPr>
              <w:t>农村公路及其用地范围内</w:t>
            </w:r>
            <w:r>
              <w:rPr>
                <w:rFonts w:hint="eastAsia" w:ascii="宋体" w:hAnsi="宋体" w:cs="宋体"/>
                <w:kern w:val="0"/>
                <w:szCs w:val="21"/>
              </w:rPr>
              <w:t>采石取土、焚烧物品、堵塞边沟的处罚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《河南省农村公路条例》第四十一条</w:t>
            </w:r>
            <w:r>
              <w:rPr>
                <w:rFonts w:hint="eastAsia" w:ascii="宋体" w:hAnsi="宋体" w:cs="宋体"/>
                <w:kern w:val="0"/>
                <w:szCs w:val="21"/>
              </w:rPr>
              <w:t>第四项、</w:t>
            </w:r>
            <w:r>
              <w:rPr>
                <w:rFonts w:hint="eastAsia" w:ascii="宋体" w:hAnsi="宋体" w:cs="宋体"/>
                <w:szCs w:val="21"/>
                <w:shd w:val="clear" w:color="auto" w:fill="FFFFFF"/>
              </w:rPr>
              <w:t>第五十五条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49</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对擅自占用、挖掘村道的处罚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《河南省农村公路条例》第五十三条</w:t>
            </w:r>
            <w:r>
              <w:rPr>
                <w:rFonts w:hint="eastAsia" w:ascii="宋体" w:hAnsi="宋体" w:cs="宋体"/>
                <w:kern w:val="0"/>
                <w:szCs w:val="21"/>
              </w:rPr>
              <w:t>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50</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w:t>
            </w:r>
            <w:r>
              <w:rPr>
                <w:rFonts w:hint="eastAsia" w:ascii="宋体" w:hAnsi="宋体" w:cs="宋体"/>
                <w:szCs w:val="21"/>
                <w:shd w:val="clear" w:color="auto" w:fill="FFFFFF"/>
              </w:rPr>
              <w:t>铁轮车、履带车和其他可能损害公路路面的机具或者车辆擅自在村道上行驶的</w:t>
            </w:r>
            <w:r>
              <w:rPr>
                <w:rFonts w:hint="eastAsia" w:ascii="宋体" w:hAnsi="宋体" w:cs="宋体"/>
                <w:kern w:val="0"/>
                <w:szCs w:val="21"/>
              </w:rPr>
              <w:t>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《河南省农村公路条例》第五十三条</w:t>
            </w:r>
            <w:r>
              <w:rPr>
                <w:rFonts w:hint="eastAsia" w:ascii="宋体" w:hAnsi="宋体" w:cs="宋体"/>
                <w:kern w:val="0"/>
                <w:szCs w:val="21"/>
              </w:rPr>
              <w:t>第四项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对超过限载、限高、限宽标准的车辆擅自在村道上行驶的处罚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《河南省农村公路条例》第五十三条</w:t>
            </w:r>
            <w:r>
              <w:rPr>
                <w:rFonts w:hint="eastAsia" w:ascii="宋体" w:hAnsi="宋体" w:cs="宋体"/>
                <w:kern w:val="0"/>
                <w:szCs w:val="21"/>
              </w:rPr>
              <w:t>第五项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对损坏或者擅自移动、涂改村道附属设施和标志的处罚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szCs w:val="21"/>
                <w:shd w:val="clear" w:color="auto" w:fill="FFFFFF"/>
              </w:rPr>
              <w:t>《河南省农村公路条例》第五十三条</w:t>
            </w:r>
            <w:r>
              <w:rPr>
                <w:rFonts w:hint="eastAsia" w:ascii="宋体" w:hAnsi="宋体" w:cs="宋体"/>
                <w:kern w:val="0"/>
                <w:szCs w:val="21"/>
              </w:rPr>
              <w:t>第六项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对未经批准利用河道、国有水库从事养殖、旅游、餐饮等活动的处罚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《河南省实施&lt;中华人民共和国水法&gt;办法》第四十四条</w:t>
            </w:r>
          </w:p>
        </w:tc>
        <w:tc>
          <w:tcPr>
            <w:tcW w:w="1306" w:type="dxa"/>
            <w:noWrap w:val="0"/>
            <w:vAlign w:val="center"/>
          </w:tcPr>
          <w:p>
            <w:pPr>
              <w:widowControl/>
              <w:adjustRightInd w:val="0"/>
              <w:snapToGrid w:val="0"/>
              <w:spacing w:line="260" w:lineRule="exact"/>
              <w:jc w:val="both"/>
              <w:textAlignment w:val="center"/>
              <w:rPr>
                <w:rFonts w:hint="eastAsia" w:ascii="宋体" w:hAnsi="宋体" w:cs="宋体"/>
                <w:kern w:val="0"/>
                <w:szCs w:val="21"/>
              </w:rPr>
            </w:pPr>
            <w:r>
              <w:rPr>
                <w:rFonts w:hint="eastAsia" w:ascii="宋体" w:hAnsi="宋体"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对在堤身建房、建窑、开渠、挖窖、葬坟、开采地下资源以及进行集市贸易的处罚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《河南省&lt;河道管理条例&gt;实施办法》第四十五条第一项</w:t>
            </w:r>
          </w:p>
        </w:tc>
        <w:tc>
          <w:tcPr>
            <w:tcW w:w="1306" w:type="dxa"/>
            <w:noWrap w:val="0"/>
            <w:vAlign w:val="center"/>
          </w:tcPr>
          <w:p>
            <w:pPr>
              <w:widowControl/>
              <w:adjustRightInd w:val="0"/>
              <w:snapToGrid w:val="0"/>
              <w:spacing w:line="260" w:lineRule="exact"/>
              <w:jc w:val="both"/>
              <w:textAlignment w:val="center"/>
              <w:rPr>
                <w:rFonts w:hint="eastAsia" w:ascii="宋体" w:hAnsi="宋体" w:cs="宋体"/>
                <w:kern w:val="0"/>
                <w:szCs w:val="21"/>
              </w:rPr>
            </w:pPr>
            <w:r>
              <w:rPr>
                <w:rFonts w:hint="eastAsia" w:ascii="宋体" w:hAnsi="宋体"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对在河湖管理范围内，设置拦河渔具的处罚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《开封市河湖保护管理条例》第二十五条第四项、第四十三条第三项</w:t>
            </w:r>
          </w:p>
        </w:tc>
        <w:tc>
          <w:tcPr>
            <w:tcW w:w="1306" w:type="dxa"/>
            <w:noWrap w:val="0"/>
            <w:vAlign w:val="center"/>
          </w:tcPr>
          <w:p>
            <w:pPr>
              <w:widowControl/>
              <w:adjustRightInd w:val="0"/>
              <w:snapToGrid w:val="0"/>
              <w:spacing w:line="260" w:lineRule="exact"/>
              <w:jc w:val="both"/>
              <w:textAlignment w:val="center"/>
              <w:rPr>
                <w:rFonts w:hint="eastAsia" w:ascii="宋体" w:hAnsi="宋体" w:cs="宋体"/>
                <w:kern w:val="0"/>
                <w:szCs w:val="21"/>
              </w:rPr>
            </w:pPr>
            <w:r>
              <w:rPr>
                <w:rFonts w:hint="eastAsia" w:ascii="宋体" w:hAnsi="宋体"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对在堤防和护堤地内，在堤身种植农作物、铲草、放牧、晒粮</w:t>
            </w:r>
            <w:r>
              <w:rPr>
                <w:rFonts w:hint="eastAsia" w:ascii="宋体" w:hAnsi="宋体" w:cs="宋体"/>
                <w:color w:val="000000"/>
                <w:kern w:val="0"/>
                <w:szCs w:val="21"/>
              </w:rPr>
              <w:t>等</w:t>
            </w:r>
            <w:r>
              <w:rPr>
                <w:rFonts w:hint="eastAsia" w:ascii="宋体" w:hAnsi="宋体" w:cs="宋体"/>
                <w:kern w:val="0"/>
                <w:szCs w:val="21"/>
              </w:rPr>
              <w:t>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《开封市河湖保护管理条例》第二十六条第一项、第四十四条第一项</w:t>
            </w:r>
          </w:p>
        </w:tc>
        <w:tc>
          <w:tcPr>
            <w:tcW w:w="1306" w:type="dxa"/>
            <w:noWrap w:val="0"/>
            <w:vAlign w:val="center"/>
          </w:tcPr>
          <w:p>
            <w:pPr>
              <w:widowControl/>
              <w:adjustRightInd w:val="0"/>
              <w:snapToGrid w:val="0"/>
              <w:spacing w:line="260" w:lineRule="exact"/>
              <w:jc w:val="both"/>
              <w:textAlignment w:val="center"/>
              <w:rPr>
                <w:rFonts w:hint="eastAsia" w:ascii="宋体" w:hAnsi="宋体" w:cs="宋体"/>
                <w:szCs w:val="21"/>
              </w:rPr>
            </w:pPr>
            <w:r>
              <w:rPr>
                <w:rFonts w:hint="eastAsia" w:ascii="宋体" w:hAnsi="宋体"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57</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对擅自移动、损毁河湖管理范围或者堤防安全保护区保护标志的处罚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《开封市河湖保护管理条例》第四十条</w:t>
            </w:r>
          </w:p>
        </w:tc>
        <w:tc>
          <w:tcPr>
            <w:tcW w:w="1306" w:type="dxa"/>
            <w:noWrap w:val="0"/>
            <w:vAlign w:val="center"/>
          </w:tcPr>
          <w:p>
            <w:pPr>
              <w:widowControl/>
              <w:adjustRightInd w:val="0"/>
              <w:snapToGrid w:val="0"/>
              <w:spacing w:line="260" w:lineRule="exact"/>
              <w:jc w:val="both"/>
              <w:textAlignment w:val="center"/>
              <w:rPr>
                <w:rFonts w:hint="eastAsia" w:ascii="宋体" w:hAnsi="宋体" w:cs="宋体"/>
                <w:kern w:val="0"/>
                <w:szCs w:val="21"/>
              </w:rPr>
            </w:pPr>
            <w:r>
              <w:rPr>
                <w:rFonts w:hint="eastAsia" w:ascii="宋体" w:hAnsi="宋体"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58</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对在禁止区域和时段游泳、垂钓的处罚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《开封市河湖保护管理条例》第四十六条</w:t>
            </w:r>
          </w:p>
        </w:tc>
        <w:tc>
          <w:tcPr>
            <w:tcW w:w="1306" w:type="dxa"/>
            <w:noWrap w:val="0"/>
            <w:vAlign w:val="center"/>
          </w:tcPr>
          <w:p>
            <w:pPr>
              <w:widowControl/>
              <w:adjustRightInd w:val="0"/>
              <w:snapToGrid w:val="0"/>
              <w:spacing w:line="260" w:lineRule="exact"/>
              <w:jc w:val="both"/>
              <w:textAlignment w:val="center"/>
              <w:rPr>
                <w:rFonts w:hint="eastAsia" w:ascii="宋体" w:hAnsi="宋体" w:cs="宋体"/>
                <w:szCs w:val="21"/>
              </w:rPr>
            </w:pPr>
            <w:r>
              <w:rPr>
                <w:rFonts w:hint="eastAsia" w:ascii="宋体" w:hAnsi="宋体"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59</w:t>
            </w:r>
          </w:p>
        </w:tc>
        <w:tc>
          <w:tcPr>
            <w:tcW w:w="3705" w:type="dxa"/>
            <w:noWrap w:val="0"/>
            <w:vAlign w:val="center"/>
          </w:tcPr>
          <w:p>
            <w:pPr>
              <w:widowControl/>
              <w:adjustRightInd w:val="0"/>
              <w:snapToGrid w:val="0"/>
              <w:spacing w:line="260" w:lineRule="exact"/>
              <w:textAlignment w:val="center"/>
              <w:rPr>
                <w:rFonts w:hint="eastAsia" w:ascii="宋体" w:hAnsi="宋体" w:cs="宋体"/>
              </w:rPr>
            </w:pPr>
            <w:r>
              <w:rPr>
                <w:rFonts w:hint="eastAsia" w:ascii="宋体" w:hAnsi="宋体" w:cs="宋体"/>
              </w:rPr>
              <w:t>对农产品生产企业、农民专业合作社、农业社会化服务组织未依照规定建立、保存农产品生产记录，或者伪造、变造农产品生产记录的处罚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《中华人民共和国农产品质量安全法》第六十九条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60</w:t>
            </w:r>
          </w:p>
        </w:tc>
        <w:tc>
          <w:tcPr>
            <w:tcW w:w="3705" w:type="dxa"/>
            <w:noWrap w:val="0"/>
            <w:vAlign w:val="center"/>
          </w:tcPr>
          <w:p>
            <w:pPr>
              <w:widowControl/>
              <w:adjustRightInd w:val="0"/>
              <w:snapToGrid w:val="0"/>
              <w:spacing w:line="260" w:lineRule="exact"/>
              <w:textAlignment w:val="center"/>
              <w:rPr>
                <w:rFonts w:hint="eastAsia" w:ascii="宋体" w:hAnsi="宋体" w:cs="宋体"/>
              </w:rPr>
            </w:pPr>
            <w:r>
              <w:rPr>
                <w:rFonts w:hint="eastAsia" w:ascii="宋体" w:hAnsi="宋体" w:cs="宋体"/>
              </w:rPr>
              <w:t>对农产品生产经营者冒用农产品质量标志，或者销售冒用农产品质量标志的农产品的处罚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《中华人民共和国农产品质量安全法》第七十四条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对饲养的动物未按照动物疫病强制免疫计划或者免疫技术规范实施免疫接种的处罚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《中华人民共和国动物防疫法》第九十二条第一项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对制造、销售禁用的渔具的处罚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《中华人民共和国渔业法》第三十八条第三款</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63</w:t>
            </w:r>
          </w:p>
        </w:tc>
        <w:tc>
          <w:tcPr>
            <w:tcW w:w="3705" w:type="dxa"/>
            <w:noWrap w:val="0"/>
            <w:vAlign w:val="center"/>
          </w:tcPr>
          <w:p>
            <w:pPr>
              <w:widowControl/>
              <w:adjustRightInd w:val="0"/>
              <w:snapToGrid w:val="0"/>
              <w:spacing w:line="260" w:lineRule="exact"/>
              <w:textAlignment w:val="center"/>
              <w:rPr>
                <w:rFonts w:hint="eastAsia" w:ascii="宋体" w:hAnsi="宋体" w:cs="宋体"/>
              </w:rPr>
            </w:pPr>
            <w:r>
              <w:rPr>
                <w:rFonts w:hint="eastAsia" w:ascii="宋体" w:hAnsi="宋体" w:cs="宋体"/>
              </w:rPr>
              <w:t>对兴办畜禽养殖场未备案，畜禽养殖场未建立养殖档案或者未按照规定保存养殖档案的处罚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《中华人民共和国畜牧法》第八十六条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对未按照规定办理登记手续并取得相应的证书和牌照，擅自将拖拉机、联合收割机投入使用，或者未按照规定办理变更登记手续的处罚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《农业机械安全监督管理条例》第五十条第一款</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65</w:t>
            </w:r>
          </w:p>
        </w:tc>
        <w:tc>
          <w:tcPr>
            <w:tcW w:w="3705" w:type="dxa"/>
            <w:noWrap w:val="0"/>
            <w:vAlign w:val="center"/>
          </w:tcPr>
          <w:p>
            <w:pPr>
              <w:widowControl/>
              <w:adjustRightInd w:val="0"/>
              <w:snapToGrid w:val="0"/>
              <w:spacing w:line="260" w:lineRule="exact"/>
              <w:textAlignment w:val="center"/>
              <w:rPr>
                <w:rFonts w:hint="eastAsia" w:ascii="宋体" w:hAnsi="宋体" w:cs="宋体"/>
              </w:rPr>
            </w:pPr>
            <w:r>
              <w:rPr>
                <w:rFonts w:hint="eastAsia" w:ascii="宋体" w:hAnsi="宋体" w:cs="宋体"/>
              </w:rPr>
              <w:t>对伪造、变造或者使用伪造、变造的拖拉机、联合收割机证书和牌照的，或者使用其他拖拉机、联合收割机的证书和牌照的处罚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《农业机械安全监督管理条例》第五十一条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66</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对互联网上网服务营业场所经营单位未悬挂《网络文化经营许可证》或者未成年人禁入标志的处罚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 xml:space="preserve">《互联网上网服务营业场所管理条例》第三十一条第五项 </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县文化广电</w:t>
            </w:r>
            <w:r>
              <w:rPr>
                <w:rFonts w:hint="eastAsia" w:ascii="宋体" w:hAnsi="宋体" w:cs="宋体"/>
                <w:kern w:val="0"/>
                <w:szCs w:val="21"/>
                <w:lang w:val="en-US" w:eastAsia="zh-CN"/>
              </w:rPr>
              <w:t>和</w:t>
            </w:r>
            <w:r>
              <w:rPr>
                <w:rFonts w:hint="eastAsia" w:ascii="宋体" w:hAnsi="宋体" w:cs="宋体"/>
                <w:kern w:val="0"/>
                <w:szCs w:val="21"/>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6</w:t>
            </w:r>
            <w:r>
              <w:rPr>
                <w:rFonts w:ascii="宋体" w:hAnsi="宋体" w:cs="宋体"/>
                <w:kern w:val="0"/>
                <w:szCs w:val="21"/>
              </w:rPr>
              <w:t>7</w:t>
            </w:r>
          </w:p>
        </w:tc>
        <w:tc>
          <w:tcPr>
            <w:tcW w:w="3705" w:type="dxa"/>
            <w:noWrap w:val="0"/>
            <w:vAlign w:val="center"/>
          </w:tcPr>
          <w:p>
            <w:pPr>
              <w:widowControl/>
              <w:adjustRightInd w:val="0"/>
              <w:snapToGrid w:val="0"/>
              <w:spacing w:line="260" w:lineRule="exact"/>
              <w:textAlignment w:val="center"/>
              <w:rPr>
                <w:rFonts w:hint="eastAsia" w:ascii="宋体" w:hAnsi="宋体" w:cs="宋体"/>
                <w:szCs w:val="21"/>
              </w:rPr>
            </w:pPr>
            <w:r>
              <w:rPr>
                <w:rFonts w:hint="eastAsia" w:ascii="宋体" w:hAnsi="宋体" w:cs="宋体"/>
                <w:kern w:val="0"/>
                <w:szCs w:val="21"/>
              </w:rPr>
              <w:t>对设立从事艺术品经营活动的经营单位，未按照规定到其住所地县级以上人民政府工商行政管理部门申领营业执照，并在领取营业执照之日起15日内，到其住所地县级以上</w:t>
            </w:r>
            <w:r>
              <w:rPr>
                <w:rFonts w:hint="eastAsia" w:ascii="宋体" w:hAnsi="宋体" w:cs="宋体"/>
              </w:rPr>
              <w:t>人民政府文化行政部门备案的处罚</w:t>
            </w:r>
          </w:p>
        </w:tc>
        <w:tc>
          <w:tcPr>
            <w:tcW w:w="3387" w:type="dxa"/>
            <w:noWrap w:val="0"/>
            <w:vAlign w:val="center"/>
          </w:tcPr>
          <w:p>
            <w:pPr>
              <w:widowControl/>
              <w:adjustRightInd w:val="0"/>
              <w:snapToGrid w:val="0"/>
              <w:spacing w:line="260" w:lineRule="exact"/>
              <w:textAlignment w:val="center"/>
              <w:rPr>
                <w:rFonts w:hint="eastAsia" w:ascii="宋体" w:hAnsi="宋体" w:cs="宋体"/>
                <w:szCs w:val="21"/>
              </w:rPr>
            </w:pPr>
            <w:r>
              <w:rPr>
                <w:rFonts w:hint="eastAsia" w:ascii="宋体" w:hAnsi="宋体" w:cs="宋体"/>
                <w:kern w:val="0"/>
                <w:szCs w:val="21"/>
              </w:rPr>
              <w:t>《艺术品经营管理办法》第五条、第十九条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szCs w:val="21"/>
              </w:rPr>
            </w:pPr>
            <w:r>
              <w:rPr>
                <w:rFonts w:hint="eastAsia" w:ascii="宋体" w:hAnsi="宋体" w:cs="宋体"/>
                <w:kern w:val="0"/>
                <w:szCs w:val="21"/>
              </w:rPr>
              <w:t>县文化广电</w:t>
            </w:r>
            <w:r>
              <w:rPr>
                <w:rFonts w:hint="eastAsia" w:ascii="宋体" w:hAnsi="宋体" w:cs="宋体"/>
                <w:kern w:val="0"/>
                <w:szCs w:val="21"/>
                <w:lang w:val="en-US" w:eastAsia="zh-CN"/>
              </w:rPr>
              <w:t>和</w:t>
            </w:r>
            <w:r>
              <w:rPr>
                <w:rFonts w:hint="eastAsia" w:ascii="宋体" w:hAnsi="宋体" w:cs="宋体"/>
                <w:kern w:val="0"/>
                <w:szCs w:val="21"/>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ascii="宋体" w:hAnsi="宋体" w:cs="宋体"/>
                <w:kern w:val="0"/>
                <w:szCs w:val="21"/>
              </w:rPr>
              <w:t>68</w:t>
            </w:r>
          </w:p>
        </w:tc>
        <w:tc>
          <w:tcPr>
            <w:tcW w:w="3705" w:type="dxa"/>
            <w:noWrap w:val="0"/>
            <w:vAlign w:val="center"/>
          </w:tcPr>
          <w:p>
            <w:pPr>
              <w:widowControl/>
              <w:adjustRightInd w:val="0"/>
              <w:snapToGrid w:val="0"/>
              <w:spacing w:line="260" w:lineRule="exact"/>
              <w:textAlignment w:val="center"/>
              <w:rPr>
                <w:rFonts w:hint="eastAsia" w:ascii="宋体" w:hAnsi="宋体" w:cs="宋体"/>
                <w:szCs w:val="21"/>
              </w:rPr>
            </w:pPr>
            <w:r>
              <w:rPr>
                <w:rFonts w:hint="eastAsia" w:ascii="宋体" w:hAnsi="宋体" w:cs="宋体"/>
                <w:kern w:val="0"/>
                <w:szCs w:val="21"/>
              </w:rPr>
              <w:t>对消防设施、器材或者消防安全标志的配置、设置不符合国家标准、行业标准，或者未保持完好有效的处罚</w:t>
            </w:r>
          </w:p>
        </w:tc>
        <w:tc>
          <w:tcPr>
            <w:tcW w:w="3387" w:type="dxa"/>
            <w:noWrap w:val="0"/>
            <w:vAlign w:val="center"/>
          </w:tcPr>
          <w:p>
            <w:pPr>
              <w:widowControl/>
              <w:adjustRightInd w:val="0"/>
              <w:snapToGrid w:val="0"/>
              <w:spacing w:line="260" w:lineRule="exact"/>
              <w:textAlignment w:val="center"/>
              <w:rPr>
                <w:rFonts w:hint="eastAsia" w:ascii="宋体" w:hAnsi="宋体" w:cs="宋体"/>
                <w:szCs w:val="21"/>
              </w:rPr>
            </w:pPr>
            <w:r>
              <w:rPr>
                <w:rFonts w:hint="eastAsia" w:ascii="宋体" w:hAnsi="宋体" w:cs="宋体"/>
                <w:kern w:val="0"/>
                <w:szCs w:val="21"/>
              </w:rPr>
              <w:t>《中华人民共和国消防法》第十六条、第六十条第一款第一项、第六十七条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ascii="宋体" w:hAnsi="宋体" w:cs="宋体"/>
                <w:kern w:val="0"/>
                <w:szCs w:val="21"/>
              </w:rPr>
              <w:t>69</w:t>
            </w:r>
          </w:p>
        </w:tc>
        <w:tc>
          <w:tcPr>
            <w:tcW w:w="3705" w:type="dxa"/>
            <w:noWrap w:val="0"/>
            <w:vAlign w:val="center"/>
          </w:tcPr>
          <w:p>
            <w:pPr>
              <w:widowControl/>
              <w:adjustRightInd w:val="0"/>
              <w:snapToGrid w:val="0"/>
              <w:spacing w:line="260" w:lineRule="exact"/>
              <w:textAlignment w:val="center"/>
              <w:rPr>
                <w:rFonts w:hint="eastAsia" w:ascii="宋体" w:hAnsi="宋体" w:cs="宋体"/>
              </w:rPr>
            </w:pPr>
            <w:r>
              <w:rPr>
                <w:rFonts w:hint="eastAsia" w:ascii="宋体" w:hAnsi="宋体" w:cs="宋体"/>
                <w:kern w:val="0"/>
                <w:szCs w:val="21"/>
              </w:rPr>
              <w:t>对损坏、挪用或者擅自拆除、停用消防设施、器材的处罚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《中华人民共和国消防法》第十六条、第六十条第一款第二项及第二款、第六十七条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0</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对占用、堵塞、封闭疏散通道、安全出口或者有其他妨碍安全疏散行为的处罚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《中华人民共和国消防法》第十六条、第六十条第一款第三项及第二款、第六十七条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1</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对埋压、圈占、遮挡消火栓或者占用防火间距的处罚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《中华人民共和国消防法》第十六条、第六十条第一款第四项及第二款、第六十七条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2</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对占用、堵塞、封闭消防车通道，妨碍消防车通行的处罚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《中华人民共和国消防法》第十六条、第六十条第一款第五项及第二款、第六十七条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3</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对人员密集场所在门窗上设置影响逃生和灭火救援的障碍物的处罚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hint="eastAsia" w:ascii="宋体" w:hAnsi="宋体" w:cs="宋体"/>
                <w:kern w:val="0"/>
                <w:szCs w:val="21"/>
              </w:rPr>
              <w:t>《中华人民共和国消防法》第十六条、第六十条第一款第六项、第六十七条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4</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ascii="宋体" w:hAnsi="宋体" w:cs="宋体"/>
                <w:kern w:val="0"/>
                <w:szCs w:val="21"/>
              </w:rPr>
              <w:t>对在居住建筑物的公共走道、楼梯间、门厅内为电动自行车、电动三轮车充电的处罚</w:t>
            </w:r>
          </w:p>
        </w:tc>
        <w:tc>
          <w:tcPr>
            <w:tcW w:w="3387"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ascii="宋体" w:hAnsi="宋体" w:cs="宋体"/>
                <w:kern w:val="0"/>
                <w:szCs w:val="21"/>
              </w:rPr>
              <w:t>《河南省消防条例》第七十一条</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7</w:t>
            </w:r>
            <w:r>
              <w:rPr>
                <w:rFonts w:ascii="宋体" w:hAnsi="宋体" w:cs="宋体"/>
                <w:kern w:val="0"/>
                <w:szCs w:val="21"/>
              </w:rPr>
              <w:t>5</w:t>
            </w:r>
          </w:p>
        </w:tc>
        <w:tc>
          <w:tcPr>
            <w:tcW w:w="3705" w:type="dxa"/>
            <w:noWrap w:val="0"/>
            <w:vAlign w:val="center"/>
          </w:tcPr>
          <w:p>
            <w:pPr>
              <w:widowControl/>
              <w:adjustRightInd w:val="0"/>
              <w:snapToGrid w:val="0"/>
              <w:spacing w:line="260" w:lineRule="exact"/>
              <w:textAlignment w:val="center"/>
              <w:rPr>
                <w:rFonts w:hint="eastAsia" w:ascii="宋体" w:hAnsi="宋体" w:cs="宋体"/>
                <w:kern w:val="0"/>
                <w:szCs w:val="21"/>
              </w:rPr>
            </w:pPr>
            <w:r>
              <w:rPr>
                <w:rFonts w:ascii="宋体" w:hAnsi="宋体" w:cs="宋体"/>
                <w:kern w:val="0"/>
                <w:szCs w:val="21"/>
              </w:rPr>
              <w:t>对在具有火灾危险的车间、商场、集贸市场、仓库和公共娱乐场所内设置员工宿舍的处罚</w:t>
            </w:r>
          </w:p>
        </w:tc>
        <w:tc>
          <w:tcPr>
            <w:tcW w:w="3387" w:type="dxa"/>
            <w:noWrap w:val="0"/>
            <w:vAlign w:val="center"/>
          </w:tcPr>
          <w:p>
            <w:pPr>
              <w:widowControl/>
              <w:adjustRightInd w:val="0"/>
              <w:snapToGrid w:val="0"/>
              <w:spacing w:line="260" w:lineRule="exact"/>
              <w:textAlignment w:val="center"/>
              <w:rPr>
                <w:rFonts w:ascii="宋体" w:hAnsi="宋体" w:cs="宋体"/>
                <w:kern w:val="0"/>
                <w:szCs w:val="21"/>
              </w:rPr>
            </w:pPr>
            <w:r>
              <w:rPr>
                <w:rFonts w:ascii="宋体" w:hAnsi="宋体" w:cs="宋体"/>
                <w:kern w:val="0"/>
                <w:szCs w:val="21"/>
              </w:rPr>
              <w:t>《河南省消防条例》第七十二条</w:t>
            </w:r>
          </w:p>
          <w:p>
            <w:pPr>
              <w:widowControl/>
              <w:adjustRightInd w:val="0"/>
              <w:snapToGrid w:val="0"/>
              <w:spacing w:line="260" w:lineRule="exact"/>
              <w:textAlignment w:val="center"/>
              <w:rPr>
                <w:rFonts w:hint="eastAsia" w:ascii="宋体" w:hAnsi="宋体" w:cs="宋体"/>
                <w:kern w:val="0"/>
                <w:szCs w:val="21"/>
              </w:rPr>
            </w:pPr>
            <w:r>
              <w:rPr>
                <w:rFonts w:ascii="宋体" w:hAnsi="宋体" w:cs="宋体"/>
                <w:kern w:val="0"/>
                <w:szCs w:val="21"/>
              </w:rPr>
              <w:t>第四项</w:t>
            </w:r>
          </w:p>
        </w:tc>
        <w:tc>
          <w:tcPr>
            <w:tcW w:w="1306" w:type="dxa"/>
            <w:noWrap w:val="0"/>
            <w:vAlign w:val="center"/>
          </w:tcPr>
          <w:p>
            <w:pPr>
              <w:widowControl/>
              <w:adjustRightInd w:val="0"/>
              <w:snapToGrid w:val="0"/>
              <w:spacing w:line="260" w:lineRule="exact"/>
              <w:jc w:val="center"/>
              <w:textAlignment w:val="center"/>
              <w:rPr>
                <w:rFonts w:hint="eastAsia" w:ascii="宋体" w:hAnsi="宋体" w:cs="宋体"/>
                <w:kern w:val="0"/>
                <w:szCs w:val="21"/>
              </w:rPr>
            </w:pPr>
            <w:r>
              <w:rPr>
                <w:rFonts w:hint="eastAsia" w:ascii="宋体" w:hAnsi="宋体" w:cs="宋体"/>
                <w:kern w:val="0"/>
                <w:szCs w:val="21"/>
              </w:rPr>
              <w:t>县消防救援大队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ZmOWI2MmQyNTVkYzEyN2VkM2RjM2NhNjg0ZTQifQ=="/>
  </w:docVars>
  <w:rsids>
    <w:rsidRoot w:val="00000000"/>
    <w:rsid w:val="6548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2023-04-19T07:10:05Z</dcterms:created>
  <dc:creator>Administrator</dc:creator>
  <cp:lastModifiedBy>硕妈</cp:lastModifiedBy>
  <dcterms:modified xsi:type="dcterms:W3CDTF">2023-04-19T07:10:26Z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182C49BF1F0044C8A008CF4F8D4CF78D_12</vt:lpwstr>
  </property>
</Properties>
</file>