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center"/>
        <w:textAlignment w:val="baseline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center"/>
        <w:textAlignment w:val="baseline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center"/>
        <w:textAlignment w:val="baseline"/>
        <w:rPr>
          <w:rFonts w:hint="default"/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center"/>
        <w:textAlignment w:val="baseline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500"/>
          <w:szCs w:val="50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center"/>
        <w:textAlignment w:val="baseline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default"/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center"/>
        <w:textAlignment w:val="baseline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00"/>
          <w:szCs w:val="300"/>
          <w14:textFill>
            <w14:solidFill>
              <w14:schemeClr w14:val="tx1"/>
            </w14:solidFill>
          </w14:textFill>
        </w:rPr>
      </w:pPr>
    </w:p>
    <w:p>
      <w:pPr>
        <w:pStyle w:val="2"/>
        <w:jc w:val="center"/>
        <w:rPr>
          <w:rFonts w:hint="default"/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尉政办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〔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2022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〕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44号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center"/>
        <w:textAlignment w:val="baseline"/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jc w:val="center"/>
        <w:textAlignment w:val="baseline"/>
        <w:rPr>
          <w:rFonts w:hint="eastAsia" w:ascii="文星标宋" w:hAnsi="文星标宋" w:eastAsia="文星标宋" w:cs="文星标宋"/>
          <w:b w:val="0"/>
          <w:bCs w:val="0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文星标宋" w:hAnsi="文星标宋" w:eastAsia="文星标宋" w:cs="文星标宋"/>
          <w:b w:val="0"/>
          <w:bCs w:val="0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尉氏县人民政府办公室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jc w:val="center"/>
        <w:textAlignment w:val="baseline"/>
        <w:rPr>
          <w:rFonts w:hint="eastAsia" w:ascii="文星标宋" w:hAnsi="文星标宋" w:eastAsia="文星标宋" w:cs="文星标宋"/>
          <w:b w:val="0"/>
          <w:bCs w:val="0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文星标宋" w:hAnsi="文星标宋" w:eastAsia="文星标宋" w:cs="文星标宋"/>
          <w:b w:val="0"/>
          <w:bCs w:val="0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关于印发</w:t>
      </w:r>
      <w:r>
        <w:rPr>
          <w:rFonts w:hint="eastAsia" w:ascii="文星标宋" w:hAnsi="文星标宋" w:eastAsia="文星标宋" w:cs="文星标宋"/>
          <w:b w:val="0"/>
          <w:bC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尉氏县声环境功能区划分方案</w:t>
      </w:r>
      <w:r>
        <w:rPr>
          <w:rFonts w:hint="eastAsia" w:ascii="文星标宋" w:hAnsi="文星标宋" w:eastAsia="文星标宋" w:cs="文星标宋"/>
          <w:b w:val="0"/>
          <w:bCs w:val="0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的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jc w:val="center"/>
        <w:textAlignment w:val="baseline"/>
        <w:rPr>
          <w:rFonts w:hint="eastAsia" w:ascii="文星标宋" w:hAnsi="文星标宋" w:eastAsia="文星标宋" w:cs="文星标宋"/>
          <w:b w:val="0"/>
          <w:bCs w:val="0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文星标宋" w:hAnsi="文星标宋" w:eastAsia="文星标宋" w:cs="文星标宋"/>
          <w:b w:val="0"/>
          <w:bCs w:val="0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通</w:t>
      </w:r>
      <w:r>
        <w:rPr>
          <w:rFonts w:hint="eastAsia" w:ascii="文星标宋" w:hAnsi="文星标宋" w:eastAsia="文星标宋" w:cs="文星标宋"/>
          <w:b w:val="0"/>
          <w:bC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文星标宋" w:hAnsi="文星标宋" w:eastAsia="文星标宋" w:cs="文星标宋"/>
          <w:b w:val="0"/>
          <w:bCs w:val="0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知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textAlignment w:val="baseline"/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各乡、镇人民政府，两湖街道办事处，先进制造业开发区管委会，县政府有关部门：</w:t>
      </w:r>
    </w:p>
    <w:p>
      <w:pPr>
        <w:pStyle w:val="2"/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eastAsia"/>
          <w:lang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《尉氏县声环境功能区划分方案》已经县政府第十一次常务会议研究通过，现印发给你们，请认真遵照执行。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  2022年12月20日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jc w:val="center"/>
        <w:textAlignment w:val="baseline"/>
        <w:rPr>
          <w:rFonts w:hint="eastAsia" w:ascii="文星标宋" w:hAnsi="文星标宋" w:eastAsia="文星标宋" w:cs="文星标宋"/>
          <w:b w:val="0"/>
          <w:bC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文星标宋" w:hAnsi="文星标宋" w:eastAsia="文星标宋" w:cs="文星标宋"/>
          <w:b w:val="0"/>
          <w:bCs w:val="0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尉氏县声环境功能区划分方案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ind w:left="0" w:leftChars="0" w:firstLine="0" w:firstLineChars="0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jc w:val="both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区划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范围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both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本次声环境功能区划分适用范围为尉氏县中心城区规划范围内区域，包括东部主城区和西部产业开发区。东部主城区边界北至沿河路、西至经六路、南至南环路、东至东环路，面积53.83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平方公里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；西部产业开发区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边界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北至北三环、西至西四环、南至福星大道、东至花园路，面积21.82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平方公里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。故本次声环境功能区划总面积为75.65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平方公里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jc w:val="both"/>
        <w:rPr>
          <w:rFonts w:hint="default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二、区划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原则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jc w:val="both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1.以改善声环境质量为核心，以保障人民享有良好的声环境为目标。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jc w:val="both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以城市总体规划为指导，重点考虑城市近期规划和用地现状，按照规划用地性质、用地现状、声环境质量现状和现行声环境功能区，科学划定声环境功能区类别。声环境功能区应覆盖整个城市规划区范围，并依据城市总体规划和用地性质变化而同步调整。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jc w:val="both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3.调整声环境功能区类别进行充分的说明，不随意降低已划定的声环境功能区类别。严格控制4类声环境功能区范围。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jc w:val="both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4.遵循城市建设和发展的客观规律，因地制宜，统筹兼顾，功能区划定应有利于环境噪声管理和促进噪声治理。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jc w:val="both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5.宜粗不宜细，宜大不宜小。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jc w:val="both"/>
        <w:rPr>
          <w:rFonts w:hint="default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三、声环境功能区定义及适用标准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jc w:val="both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《声环境质量标准》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GB3096-2008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中规定，按照区域使用功能特点和环境质量要求，声环境功能区分为以下五类：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jc w:val="both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0类声环境功能区：指康复疗养区等特别需要安静的区域。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both"/>
        <w:textAlignment w:val="baseline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1类声环境功能区：指以居民住宅、医疗卫生、文化教育、科研设计、行政办公为主要功能，需要保持安静的区域。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both"/>
        <w:textAlignment w:val="baseline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2类声环境功能区：指以商业金融、集市贸易为主要功能，或者居住、商业、工业混杂，需要维护住宅安静的区域。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both"/>
        <w:textAlignment w:val="baseline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3类声环境功能区：指以工业生产、仓储物流为主要功能区，需要防止工业噪声对周围环境产生严重影响的区域。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both"/>
        <w:textAlignment w:val="baseline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4类声环境功能区：指交通干线两侧一定距离之内，需要防止交通噪声对周围环境产生严重影响的区域，包括4a类和4b类两种类型。4a类为</w:t>
      </w: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pacing w:val="-11"/>
          <w:sz w:val="32"/>
          <w:szCs w:val="32"/>
          <w14:textFill>
            <w14:solidFill>
              <w14:schemeClr w14:val="tx1"/>
            </w14:solidFill>
          </w14:textFill>
        </w:rPr>
        <w:t>高速公路、一级公路、二级公路、城市快速路、城市主干路、</w:t>
      </w: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城市次干路、城市轨道交通（地面段）、内河航道两侧区域；4b类为铁路干线两侧区域。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both"/>
        <w:textAlignment w:val="baseline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根据《声环境质量标准》（GB3096-2008），各类声环境功能区适用噪声等效声级限值见下表。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snapToGrid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snapToGrid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表1    声环境质量标准限值（GB 3096-2008）    单位：dB（A）</w:t>
      </w:r>
    </w:p>
    <w:tbl>
      <w:tblPr>
        <w:tblStyle w:val="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8"/>
        <w:gridCol w:w="1880"/>
        <w:gridCol w:w="2863"/>
        <w:gridCol w:w="2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0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9525</wp:posOffset>
                      </wp:positionV>
                      <wp:extent cx="2345690" cy="499110"/>
                      <wp:effectExtent l="1270" t="4445" r="15240" b="10795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45690" cy="49911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pt;margin-top:0.75pt;height:39.3pt;width:184.7pt;z-index:251660288;mso-width-relative:page;mso-height-relative:page;" filled="f" stroked="t" coordsize="21600,21600" o:gfxdata="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tPJQAdUAAAAIAQAADwAAAAAAAAABACAAAAAiAAAAZHJzL2Rvd25yZXYueG1s&#10;UEsBAhQAFAAAAAgAh07iQJoKuzv7AQAA6QMAAA4AAAAAAAAAAQAgAAAAJAEAAGRycy9lMm9Eb2Mu&#10;eG1sUEsFBgAAAAAGAAYAWQEAAJE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时段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声环境功能区类别</w:t>
            </w:r>
          </w:p>
        </w:tc>
        <w:tc>
          <w:tcPr>
            <w:tcW w:w="1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昼间</w:t>
            </w:r>
          </w:p>
        </w:tc>
        <w:tc>
          <w:tcPr>
            <w:tcW w:w="1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夜间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0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0类</w:t>
            </w:r>
          </w:p>
        </w:tc>
        <w:tc>
          <w:tcPr>
            <w:tcW w:w="1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0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1类</w:t>
            </w:r>
          </w:p>
        </w:tc>
        <w:tc>
          <w:tcPr>
            <w:tcW w:w="1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55</w:t>
            </w:r>
          </w:p>
        </w:tc>
        <w:tc>
          <w:tcPr>
            <w:tcW w:w="1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0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2类</w:t>
            </w:r>
          </w:p>
        </w:tc>
        <w:tc>
          <w:tcPr>
            <w:tcW w:w="1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1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0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3类</w:t>
            </w:r>
          </w:p>
        </w:tc>
        <w:tc>
          <w:tcPr>
            <w:tcW w:w="1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  <w:tc>
          <w:tcPr>
            <w:tcW w:w="1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4类</w:t>
            </w:r>
          </w:p>
        </w:tc>
        <w:tc>
          <w:tcPr>
            <w:tcW w:w="10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4a类</w:t>
            </w:r>
          </w:p>
        </w:tc>
        <w:tc>
          <w:tcPr>
            <w:tcW w:w="1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1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4b类</w:t>
            </w:r>
          </w:p>
        </w:tc>
        <w:tc>
          <w:tcPr>
            <w:tcW w:w="1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1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</w:tr>
    </w:tbl>
    <w:p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jc w:val="both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昼间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是指6:00至22:00之间的时段，该时段执行昼间标准；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夜间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是指22:00至次日6:00之间的时段，该时段执行夜间标准。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jc w:val="both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各类声环境功能区夜间突发噪声，其最大声级超过环境噪声限值的幅度不得高于15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B(A)。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jc w:val="both"/>
        <w:rPr>
          <w:rFonts w:hint="default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四、声环境功能区划分结果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jc w:val="both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见附表1、附表2和附图。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5" w:type="default"/>
          <w:pgSz w:w="11910" w:h="16840"/>
          <w:pgMar w:top="1431" w:right="1460" w:bottom="1772" w:left="1549" w:header="0" w:footer="1514" w:gutter="0"/>
          <w:pgNumType w:fmt="decimal"/>
          <w:cols w:space="720" w:num="1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default" w:ascii="Times New Roman" w:hAnsi="Times New Roman" w:eastAsia="仿宋_GB2312" w:cs="Times New Roman"/>
          <w:b/>
          <w:bCs/>
          <w:snapToGrid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-285115</wp:posOffset>
                </wp:positionV>
                <wp:extent cx="587375" cy="269875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hint="default" w:ascii="Times New Roman" w:hAnsi="Times New Roman" w:eastAsia="黑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lang w:val="en-US" w:eastAsia="zh-CN"/>
                              </w:rPr>
                              <w:t>附表</w:t>
                            </w:r>
                            <w:r>
                              <w:rPr>
                                <w:rFonts w:hint="eastAsia" w:ascii="Times New Roman" w:hAnsi="Times New Roman" w:eastAsia="黑体" w:cs="Times New Roman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黑体" w:cs="Times New Roman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9.45pt;margin-top:-22.45pt;height:21.25pt;width:46.25pt;z-index:251661312;v-text-anchor:middle;mso-width-relative:page;mso-height-relative:page;" filled="f" stroked="f" coordsize="21600,21600" o:gfxdata="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l4PrvtcAAAAJAQAADwAAAAAAAAABACAA&#10;AAAiAAAAZHJzL2Rvd25yZXYueG1sUEsBAhQAFAAAAAgAh07iQLJCnrRHAgAAhQQAAA4AAAAAAAAA&#10;AQAgAAAAJgEAAGRycy9lMm9Eb2MueG1sUEsFBgAAAAAGAAYAWQEAAN8FAAAAAA==&#10;">
                <v:fill on="f" focussize="0,0"/>
                <v:stroke on="f" weight="2pt"/>
                <v:imagedata o:title=""/>
                <o:lock v:ext="edit" aspectratio="f"/>
                <v:textbox inset="0mm,0mm,0mm,0mm">
                  <w:txbxContent>
                    <w:p>
                      <w:pPr>
                        <w:ind w:left="0" w:leftChars="0" w:firstLine="0" w:firstLineChars="0"/>
                        <w:jc w:val="center"/>
                        <w:rPr>
                          <w:rFonts w:hint="default" w:ascii="Times New Roman" w:hAnsi="Times New Roman" w:eastAsia="黑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lang w:val="en-US" w:eastAsia="zh-CN"/>
                        </w:rPr>
                        <w:t>附表</w:t>
                      </w:r>
                      <w:r>
                        <w:rPr>
                          <w:rFonts w:hint="eastAsia" w:ascii="Times New Roman" w:hAnsi="Times New Roman" w:eastAsia="黑体" w:cs="Times New Roman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黑体" w:cs="Times New Roman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eastAsia="仿宋_GB2312" w:cs="Times New Roman"/>
          <w:b/>
          <w:bCs/>
          <w:snapToGrid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尉氏县中心城区</w:t>
      </w:r>
      <w:r>
        <w:rPr>
          <w:rFonts w:hint="eastAsia" w:ascii="Times New Roman" w:hAnsi="Times New Roman" w:eastAsia="仿宋_GB2312" w:cs="Times New Roman"/>
          <w:b/>
          <w:bCs/>
          <w:snapToGrid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0~3类</w:t>
      </w:r>
      <w:r>
        <w:rPr>
          <w:rFonts w:hint="default" w:ascii="Times New Roman" w:hAnsi="Times New Roman" w:eastAsia="仿宋_GB2312" w:cs="Times New Roman"/>
          <w:b/>
          <w:bCs/>
          <w:snapToGrid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声环境功能区划</w:t>
      </w:r>
      <w:r>
        <w:rPr>
          <w:rFonts w:hint="eastAsia" w:ascii="Times New Roman" w:hAnsi="Times New Roman" w:eastAsia="仿宋_GB2312" w:cs="Times New Roman"/>
          <w:b/>
          <w:bCs/>
          <w:snapToGrid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分结果</w:t>
      </w:r>
    </w:p>
    <w:tbl>
      <w:tblPr>
        <w:tblStyle w:val="5"/>
        <w:tblW w:w="5840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7"/>
        <w:gridCol w:w="898"/>
        <w:gridCol w:w="1496"/>
        <w:gridCol w:w="1884"/>
        <w:gridCol w:w="5224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声环境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功能区类别</w:t>
            </w: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功能区编号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000000" w:themeColor="text1"/>
                <w:kern w:val="2"/>
                <w:sz w:val="32"/>
                <w:szCs w:val="3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总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面积（m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color w:val="000000" w:themeColor="text1"/>
                <w:sz w:val="32"/>
                <w:szCs w:val="32"/>
                <w:u w:val="none"/>
                <w:vertAlign w:val="super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主要用地功能</w:t>
            </w:r>
          </w:p>
        </w:tc>
        <w:tc>
          <w:tcPr>
            <w:tcW w:w="24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边界范围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0类区</w:t>
            </w: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9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24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1类区</w:t>
            </w: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1-1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832968</w:t>
            </w:r>
          </w:p>
        </w:tc>
        <w:tc>
          <w:tcPr>
            <w:tcW w:w="9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居住用地</w:t>
            </w:r>
          </w:p>
        </w:tc>
        <w:tc>
          <w:tcPr>
            <w:tcW w:w="24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西四环—北三环—建业路—国康路—尚王村东边界沿线—国福路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1-2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11429607</w:t>
            </w:r>
          </w:p>
        </w:tc>
        <w:tc>
          <w:tcPr>
            <w:tcW w:w="9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居住用地</w:t>
            </w:r>
          </w:p>
        </w:tc>
        <w:tc>
          <w:tcPr>
            <w:tcW w:w="24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建业路—福康路—新港大道—北三环—花园路—福星大道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1-3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12601455</w:t>
            </w:r>
          </w:p>
        </w:tc>
        <w:tc>
          <w:tcPr>
            <w:tcW w:w="9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居住用地、公园绿地</w:t>
            </w:r>
          </w:p>
        </w:tc>
        <w:tc>
          <w:tcPr>
            <w:tcW w:w="24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经六路—沿河路—康沟河—南环路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1-4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14763389</w:t>
            </w:r>
          </w:p>
        </w:tc>
        <w:tc>
          <w:tcPr>
            <w:tcW w:w="9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居住用地、行政办公用地、教育科研用地</w:t>
            </w:r>
          </w:p>
        </w:tc>
        <w:tc>
          <w:tcPr>
            <w:tcW w:w="24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康沟河—沿河路—纬十路—东环路—尉州大道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1-5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7237561</w:t>
            </w:r>
          </w:p>
        </w:tc>
        <w:tc>
          <w:tcPr>
            <w:tcW w:w="9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居住用地</w:t>
            </w:r>
          </w:p>
        </w:tc>
        <w:tc>
          <w:tcPr>
            <w:tcW w:w="24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康沟河—福聚路—光明路—福星大道—小李庄西边界沿线—铁路北街—东环路—经一路—南环路—建设路—周庄村北边界沿线—西老鸦刘村西边界沿线—纱厂西路—福星大道—建设路—铁路街—滨河温泉名苑小区东边界沿线—福星大道—福甬路—福园路—刘麦河—福聚路—七里河村东边界沿线—南环路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—七里河村西边界沿线—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福甬路—南环路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2类区</w:t>
            </w: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2-1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1056464</w:t>
            </w:r>
          </w:p>
        </w:tc>
        <w:tc>
          <w:tcPr>
            <w:tcW w:w="9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工业用地、居住用地、教育科研用地</w:t>
            </w:r>
          </w:p>
        </w:tc>
        <w:tc>
          <w:tcPr>
            <w:tcW w:w="24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西四环—新尉大道—兴业路—福民路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2-2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11192762</w:t>
            </w:r>
          </w:p>
        </w:tc>
        <w:tc>
          <w:tcPr>
            <w:tcW w:w="9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居住用地、商业用地、教育科研用地、工业用地</w:t>
            </w:r>
          </w:p>
        </w:tc>
        <w:tc>
          <w:tcPr>
            <w:tcW w:w="24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康沟河—尉州大道—东环路—铁路北街—许庄村西边界沿线—福星大道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3类区</w:t>
            </w: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3-1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7503274</w:t>
            </w:r>
          </w:p>
        </w:tc>
        <w:tc>
          <w:tcPr>
            <w:tcW w:w="9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工业用地</w:t>
            </w:r>
          </w:p>
        </w:tc>
        <w:tc>
          <w:tcPr>
            <w:tcW w:w="24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西四环—福民路—兴业路—新尉大道—西四环—国福路—尚王村东边界沿线—国康路—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建业路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—北三环—新港大道—福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康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路—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建业路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福星大道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3-2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1949182</w:t>
            </w:r>
          </w:p>
        </w:tc>
        <w:tc>
          <w:tcPr>
            <w:tcW w:w="9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工业用地</w:t>
            </w:r>
          </w:p>
        </w:tc>
        <w:tc>
          <w:tcPr>
            <w:tcW w:w="24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康沟河—福星大道—许庄村西边界沿线—铁路北街—小李庄西边界沿线—福星大道—光明路—福聚路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3-3</w:t>
            </w:r>
          </w:p>
        </w:tc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4666316</w:t>
            </w:r>
          </w:p>
        </w:tc>
        <w:tc>
          <w:tcPr>
            <w:tcW w:w="9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工业用地</w:t>
            </w:r>
          </w:p>
        </w:tc>
        <w:tc>
          <w:tcPr>
            <w:tcW w:w="24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刘麦河—福园路—福甬路—福星大道—滨河温泉名苑小区东边界沿线—铁路街—建设路—福星大道—纱厂西路—西老鸦刘村西边界沿线—周庄村北边界沿线—福乐路—建设路—南环路—七里河村东边界沿线—福聚路—七里河村西边界沿线—南环路—福甬路—福聚路</w:t>
            </w:r>
          </w:p>
        </w:tc>
      </w:tr>
    </w:tbl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rPr>
          <w:rFonts w:hint="default" w:ascii="Times New Roman" w:hAnsi="Times New Roman" w:eastAsia="仿宋_GB2312"/>
          <w:sz w:val="32"/>
          <w:szCs w:val="32"/>
        </w:rPr>
        <w:sectPr>
          <w:pgSz w:w="11910" w:h="16840"/>
          <w:pgMar w:top="1431" w:right="1460" w:bottom="1772" w:left="1549" w:header="0" w:footer="1514" w:gutter="0"/>
          <w:pgNumType w:fmt="decimal"/>
          <w:cols w:space="720" w:num="1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default" w:ascii="Times New Roman" w:hAnsi="Times New Roman" w:eastAsia="仿宋_GB2312" w:cs="Times New Roman"/>
          <w:b/>
          <w:bCs/>
          <w:snapToGrid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snapToGrid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尉</w:t>
      </w:r>
      <w:r>
        <w:rPr>
          <w:rFonts w:ascii="Times New Roman" w:hAnsi="Times New Roman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-285115</wp:posOffset>
                </wp:positionV>
                <wp:extent cx="587375" cy="269875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hint="default" w:ascii="Times New Roman" w:hAnsi="Times New Roman" w:eastAsia="黑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lang w:val="en-US" w:eastAsia="zh-CN"/>
                              </w:rPr>
                              <w:t>附表</w:t>
                            </w:r>
                            <w:r>
                              <w:rPr>
                                <w:rFonts w:hint="eastAsia" w:ascii="Times New Roman" w:hAnsi="Times New Roman" w:eastAsia="黑体" w:cs="Times New Roman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="黑体" w:cs="Times New Roman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9.45pt;margin-top:-22.45pt;height:21.25pt;width:46.25pt;z-index:251662336;v-text-anchor:middle;mso-width-relative:page;mso-height-relative:page;" filled="f" stroked="f" coordsize="21600,21600" o:gfxdata="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JeD677XAAAACQEAAA8AAAAAAAAAAQAg&#10;AAAAIgAAAGRycy9kb3ducmV2LnhtbFBLAQIUABQAAAAIAIdO4kCD8m+DSAIAAIUEAAAOAAAAAAAA&#10;AAEAIAAAACYBAABkcnMvZTJvRG9jLnhtbFBLBQYAAAAABgAGAFkBAADgBQAAAAA=&#10;">
                <v:fill on="f" focussize="0,0"/>
                <v:stroke on="f" weight="2pt"/>
                <v:imagedata o:title=""/>
                <o:lock v:ext="edit" aspectratio="f"/>
                <v:textbox inset="0mm,0mm,0mm,0mm">
                  <w:txbxContent>
                    <w:p>
                      <w:pPr>
                        <w:ind w:left="0" w:leftChars="0" w:firstLine="0" w:firstLineChars="0"/>
                        <w:jc w:val="center"/>
                        <w:rPr>
                          <w:rFonts w:hint="default" w:ascii="Times New Roman" w:hAnsi="Times New Roman" w:eastAsia="黑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lang w:val="en-US" w:eastAsia="zh-CN"/>
                        </w:rPr>
                        <w:t>附表</w:t>
                      </w:r>
                      <w:r>
                        <w:rPr>
                          <w:rFonts w:hint="eastAsia" w:ascii="Times New Roman" w:hAnsi="Times New Roman" w:eastAsia="黑体" w:cs="Times New Roman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eastAsia="黑体" w:cs="Times New Roman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eastAsia="仿宋_GB2312" w:cs="Times New Roman"/>
          <w:b/>
          <w:bCs/>
          <w:snapToGrid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氏县中心城区</w:t>
      </w:r>
      <w:r>
        <w:rPr>
          <w:rFonts w:hint="eastAsia" w:ascii="Times New Roman" w:hAnsi="Times New Roman" w:eastAsia="仿宋_GB2312" w:cs="Times New Roman"/>
          <w:b/>
          <w:bCs/>
          <w:snapToGrid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4类</w:t>
      </w:r>
      <w:r>
        <w:rPr>
          <w:rFonts w:hint="default" w:ascii="Times New Roman" w:hAnsi="Times New Roman" w:eastAsia="仿宋_GB2312" w:cs="Times New Roman"/>
          <w:b/>
          <w:bCs/>
          <w:snapToGrid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声环境功能区划</w:t>
      </w:r>
      <w:r>
        <w:rPr>
          <w:rFonts w:hint="eastAsia" w:ascii="Times New Roman" w:hAnsi="Times New Roman" w:eastAsia="仿宋_GB2312" w:cs="Times New Roman"/>
          <w:b/>
          <w:bCs/>
          <w:snapToGrid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分结果</w:t>
      </w:r>
    </w:p>
    <w:tbl>
      <w:tblPr>
        <w:tblStyle w:val="5"/>
        <w:tblW w:w="5648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"/>
        <w:gridCol w:w="442"/>
        <w:gridCol w:w="1212"/>
        <w:gridCol w:w="2238"/>
        <w:gridCol w:w="975"/>
        <w:gridCol w:w="887"/>
        <w:gridCol w:w="1321"/>
        <w:gridCol w:w="224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声环境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000000" w:themeColor="text1"/>
                <w:sz w:val="32"/>
                <w:szCs w:val="3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功能区类别</w:t>
            </w:r>
          </w:p>
        </w:tc>
        <w:tc>
          <w:tcPr>
            <w:tcW w:w="80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道路名称</w:t>
            </w:r>
          </w:p>
        </w:tc>
        <w:tc>
          <w:tcPr>
            <w:tcW w:w="10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起终点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道级路别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红宽线度（m）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长度（m）</w:t>
            </w:r>
          </w:p>
        </w:tc>
        <w:tc>
          <w:tcPr>
            <w:tcW w:w="10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适用区域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4a类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东部主城区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802" w:type="pct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北三环</w:t>
            </w:r>
          </w:p>
        </w:tc>
        <w:tc>
          <w:tcPr>
            <w:tcW w:w="10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西环路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2179.75</w:t>
            </w:r>
          </w:p>
        </w:tc>
        <w:tc>
          <w:tcPr>
            <w:tcW w:w="1091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640" w:firstLineChars="200"/>
              <w:jc w:val="left"/>
              <w:textAlignment w:val="auto"/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道路两侧各距红线垂直距离为：相邻区域为1类声环境功能区域，距离为50m；相邻区域2类声环境功能区域，距离为35m；相邻区域为3类声环境功能区域，距离为20m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640" w:firstLineChars="200"/>
              <w:jc w:val="left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当临街建筑高于三层楼房以上（含三层）时，将临街建筑面向交通干线一侧至交通干线边界线的区域定为 4a 类声环境功能区。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西环路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东环路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4677.5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北二环</w:t>
            </w:r>
          </w:p>
        </w:tc>
        <w:tc>
          <w:tcPr>
            <w:tcW w:w="10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西祥北路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3498.36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西祥北路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东环路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46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3647.67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尉州大道</w:t>
            </w:r>
          </w:p>
        </w:tc>
        <w:tc>
          <w:tcPr>
            <w:tcW w:w="10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东环路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7807.06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人民路</w:t>
            </w:r>
          </w:p>
        </w:tc>
        <w:tc>
          <w:tcPr>
            <w:tcW w:w="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人民西路</w:t>
            </w:r>
          </w:p>
        </w:tc>
        <w:tc>
          <w:tcPr>
            <w:tcW w:w="10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滨河东路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4624.54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人民中路</w:t>
            </w:r>
          </w:p>
        </w:tc>
        <w:tc>
          <w:tcPr>
            <w:tcW w:w="10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滨河东路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建设北路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1874.04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人民东路</w:t>
            </w:r>
          </w:p>
        </w:tc>
        <w:tc>
          <w:tcPr>
            <w:tcW w:w="10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建设北路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东环路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1562.03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福星大道</w:t>
            </w:r>
          </w:p>
        </w:tc>
        <w:tc>
          <w:tcPr>
            <w:tcW w:w="10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东环路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8351.71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福聚路</w:t>
            </w:r>
          </w:p>
        </w:tc>
        <w:tc>
          <w:tcPr>
            <w:tcW w:w="10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经一路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7846.47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南环路</w:t>
            </w:r>
          </w:p>
        </w:tc>
        <w:tc>
          <w:tcPr>
            <w:tcW w:w="10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经一路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7668.13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经六路</w:t>
            </w:r>
          </w:p>
        </w:tc>
        <w:tc>
          <w:tcPr>
            <w:tcW w:w="10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沿河路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南环路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6894.64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经五路</w:t>
            </w:r>
          </w:p>
        </w:tc>
        <w:tc>
          <w:tcPr>
            <w:tcW w:w="10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沿河路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南环路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7009.8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西环路</w:t>
            </w:r>
          </w:p>
        </w:tc>
        <w:tc>
          <w:tcPr>
            <w:tcW w:w="10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沿河路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南环路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6959.7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西祥路</w:t>
            </w:r>
          </w:p>
        </w:tc>
        <w:tc>
          <w:tcPr>
            <w:tcW w:w="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西祥北路</w:t>
            </w:r>
          </w:p>
        </w:tc>
        <w:tc>
          <w:tcPr>
            <w:tcW w:w="10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沿河路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尉州大道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2713.46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西祥北路</w:t>
            </w:r>
          </w:p>
        </w:tc>
        <w:tc>
          <w:tcPr>
            <w:tcW w:w="10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尉州大道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人民西路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1085.49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西祥南路</w:t>
            </w:r>
          </w:p>
        </w:tc>
        <w:tc>
          <w:tcPr>
            <w:tcW w:w="10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人民西路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南环路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3208.77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行政西路</w:t>
            </w:r>
          </w:p>
        </w:tc>
        <w:tc>
          <w:tcPr>
            <w:tcW w:w="10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沿河路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尉州大道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6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2825.4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西关中路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尉州大道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人民中路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2499.69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福甬路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人民中路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南环路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1915.81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" w:type="pct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建设路</w:t>
            </w:r>
          </w:p>
        </w:tc>
        <w:tc>
          <w:tcPr>
            <w:tcW w:w="58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建设北路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纬十路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人民中路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3890.64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建设南路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人民中路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福星大道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1352.31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建设南路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福星大道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南环路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1822.19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沿河路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纬十路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6244.4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纬十路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东环路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6869.23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纬九路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东环路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6854.29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纬八路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东环路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6953.66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行政北路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滨河东路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东环路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2488.26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" w:type="pct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文化路</w:t>
            </w:r>
          </w:p>
        </w:tc>
        <w:tc>
          <w:tcPr>
            <w:tcW w:w="58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文化西路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滨河东路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4657.98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文化中路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滨河东路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建设北路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1847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.00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文化东路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建设北路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东盛路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378.17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文化东路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东盛路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东环路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1033.85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铁路北街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东环路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8171.46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福园路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经一路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7909.47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福乐路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经一路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7773.06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纵四路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北二环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南环路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5137.01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纵五路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沿河路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纬九路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1111.46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经四路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沿河路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纬六中路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2278.07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纬六中路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福乐路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4272.94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光明路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纬六中路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南环路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4767.54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纵十路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沿河路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北二环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1910.44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滨河东路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沿河路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尉州大道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2797.18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北大街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纬十路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文化中路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3210.73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东大街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文化中路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人民中路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584.61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南大街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人民中路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南环路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3079.94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纱厂西路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尉州大道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铁路北街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1736.03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铁路北街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南环路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2697.56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经一路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纬十路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南环路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7428.9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东环路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纬十路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福星大道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6162.38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4a类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西部产业开发区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80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北三环</w:t>
            </w:r>
          </w:p>
        </w:tc>
        <w:tc>
          <w:tcPr>
            <w:tcW w:w="108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西四环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花园路</w:t>
            </w:r>
          </w:p>
        </w:tc>
        <w:tc>
          <w:tcPr>
            <w:tcW w:w="47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4731.52</w:t>
            </w:r>
          </w:p>
        </w:tc>
        <w:tc>
          <w:tcPr>
            <w:tcW w:w="1091" w:type="pct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640" w:firstLineChars="200"/>
              <w:jc w:val="left"/>
              <w:textAlignment w:val="auto"/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道路两侧各距红线垂直距离为：相邻区域为1类声环境功能区域，距离为50m；相邻区域2类声环境功能区域，距离为35m；相邻区域为3类声环境功能区域，距离为20m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640" w:firstLineChars="200"/>
              <w:jc w:val="left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当临街建筑高于三层楼房以上（含三层）时，将临街建筑面向交通干线一侧至交通干线边界线的区域定为 4a 类声环境功能区。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国福路</w:t>
            </w:r>
          </w:p>
        </w:tc>
        <w:tc>
          <w:tcPr>
            <w:tcW w:w="10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西四环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花园路</w:t>
            </w:r>
          </w:p>
        </w:tc>
        <w:tc>
          <w:tcPr>
            <w:tcW w:w="4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4730.34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国兴路</w:t>
            </w:r>
          </w:p>
        </w:tc>
        <w:tc>
          <w:tcPr>
            <w:tcW w:w="10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西四环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花园路</w:t>
            </w:r>
          </w:p>
        </w:tc>
        <w:tc>
          <w:tcPr>
            <w:tcW w:w="4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4675.11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新尉大道</w:t>
            </w:r>
          </w:p>
        </w:tc>
        <w:tc>
          <w:tcPr>
            <w:tcW w:w="10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西四环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花园路</w:t>
            </w:r>
          </w:p>
        </w:tc>
        <w:tc>
          <w:tcPr>
            <w:tcW w:w="4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4589.27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福康路</w:t>
            </w:r>
          </w:p>
        </w:tc>
        <w:tc>
          <w:tcPr>
            <w:tcW w:w="10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西四环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花园路</w:t>
            </w:r>
          </w:p>
        </w:tc>
        <w:tc>
          <w:tcPr>
            <w:tcW w:w="4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4443.52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福星大道</w:t>
            </w:r>
          </w:p>
        </w:tc>
        <w:tc>
          <w:tcPr>
            <w:tcW w:w="10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西四环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花园路</w:t>
            </w:r>
          </w:p>
        </w:tc>
        <w:tc>
          <w:tcPr>
            <w:tcW w:w="4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4401.9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西四环</w:t>
            </w:r>
          </w:p>
        </w:tc>
        <w:tc>
          <w:tcPr>
            <w:tcW w:w="10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北三环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福星大道</w:t>
            </w:r>
          </w:p>
        </w:tc>
        <w:tc>
          <w:tcPr>
            <w:tcW w:w="4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4779.86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建业路</w:t>
            </w:r>
          </w:p>
        </w:tc>
        <w:tc>
          <w:tcPr>
            <w:tcW w:w="10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北三环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福星大道</w:t>
            </w:r>
          </w:p>
        </w:tc>
        <w:tc>
          <w:tcPr>
            <w:tcW w:w="4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4754.54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兴业路</w:t>
            </w:r>
          </w:p>
        </w:tc>
        <w:tc>
          <w:tcPr>
            <w:tcW w:w="10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北三环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福星大道</w:t>
            </w:r>
          </w:p>
        </w:tc>
        <w:tc>
          <w:tcPr>
            <w:tcW w:w="4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4716.74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新港大道</w:t>
            </w:r>
          </w:p>
        </w:tc>
        <w:tc>
          <w:tcPr>
            <w:tcW w:w="10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北三环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福星大道</w:t>
            </w:r>
          </w:p>
        </w:tc>
        <w:tc>
          <w:tcPr>
            <w:tcW w:w="4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4692.81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锦绣路</w:t>
            </w:r>
          </w:p>
        </w:tc>
        <w:tc>
          <w:tcPr>
            <w:tcW w:w="10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北三环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福星大道</w:t>
            </w:r>
          </w:p>
        </w:tc>
        <w:tc>
          <w:tcPr>
            <w:tcW w:w="4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4641.98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花园路</w:t>
            </w:r>
          </w:p>
        </w:tc>
        <w:tc>
          <w:tcPr>
            <w:tcW w:w="10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北三环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福星大道</w:t>
            </w:r>
          </w:p>
        </w:tc>
        <w:tc>
          <w:tcPr>
            <w:tcW w:w="4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主干路</w:t>
            </w:r>
          </w:p>
        </w:tc>
        <w:tc>
          <w:tcPr>
            <w:tcW w:w="43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4558.27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国安路</w:t>
            </w:r>
          </w:p>
        </w:tc>
        <w:tc>
          <w:tcPr>
            <w:tcW w:w="10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西四环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花园路</w:t>
            </w:r>
          </w:p>
        </w:tc>
        <w:tc>
          <w:tcPr>
            <w:tcW w:w="4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4789.46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国康路</w:t>
            </w:r>
          </w:p>
        </w:tc>
        <w:tc>
          <w:tcPr>
            <w:tcW w:w="10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西四环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花园路</w:t>
            </w:r>
          </w:p>
        </w:tc>
        <w:tc>
          <w:tcPr>
            <w:tcW w:w="4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4827.25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福民路</w:t>
            </w:r>
          </w:p>
        </w:tc>
        <w:tc>
          <w:tcPr>
            <w:tcW w:w="10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西四环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花园路</w:t>
            </w:r>
          </w:p>
        </w:tc>
        <w:tc>
          <w:tcPr>
            <w:tcW w:w="4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4502.78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和谐路</w:t>
            </w:r>
          </w:p>
        </w:tc>
        <w:tc>
          <w:tcPr>
            <w:tcW w:w="10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北三环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福星大道</w:t>
            </w:r>
          </w:p>
        </w:tc>
        <w:tc>
          <w:tcPr>
            <w:tcW w:w="4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4677.29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商城路</w:t>
            </w:r>
          </w:p>
        </w:tc>
        <w:tc>
          <w:tcPr>
            <w:tcW w:w="10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北三环</w:t>
            </w: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福星大道</w:t>
            </w:r>
          </w:p>
        </w:tc>
        <w:tc>
          <w:tcPr>
            <w:tcW w:w="4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次干路</w:t>
            </w:r>
          </w:p>
        </w:tc>
        <w:tc>
          <w:tcPr>
            <w:tcW w:w="43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4604.71</w:t>
            </w:r>
          </w:p>
        </w:tc>
        <w:tc>
          <w:tcPr>
            <w:tcW w:w="1091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3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4b类</w:t>
            </w:r>
          </w:p>
        </w:tc>
        <w:tc>
          <w:tcPr>
            <w:tcW w:w="80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0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4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43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09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snapToGrid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</w:tbl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rPr>
          <w:rFonts w:hint="default" w:ascii="Times New Roman" w:hAnsi="Times New Roman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rPr>
          <w:rFonts w:hint="default" w:ascii="Times New Roman" w:hAnsi="Times New Roman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rPr>
          <w:rFonts w:hint="default" w:ascii="Times New Roman" w:hAnsi="Times New Roman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rPr>
          <w:rFonts w:hint="default" w:ascii="Times New Roman" w:hAnsi="Times New Roman" w:eastAsia="仿宋_GB2312"/>
          <w:sz w:val="32"/>
          <w:szCs w:val="32"/>
        </w:rPr>
        <w:sectPr>
          <w:pgSz w:w="11910" w:h="16840"/>
          <w:pgMar w:top="1431" w:right="1460" w:bottom="1772" w:left="1549" w:header="0" w:footer="1514" w:gutter="0"/>
          <w:pgNumType w:fmt="decimal"/>
          <w:cols w:space="720" w:num="1"/>
        </w:sectPr>
      </w:pP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rPr>
          <w:rFonts w:hint="default" w:ascii="Times New Roman" w:hAnsi="Times New Roman" w:eastAsia="仿宋_GB2312"/>
          <w:sz w:val="32"/>
          <w:szCs w:val="32"/>
        </w:rPr>
        <w:sectPr>
          <w:pgSz w:w="11910" w:h="16840"/>
          <w:pgMar w:top="1431" w:right="1460" w:bottom="1772" w:left="1549" w:header="0" w:footer="1514" w:gutter="0"/>
          <w:pgNumType w:fmt="decimal"/>
          <w:cols w:space="720" w:num="1"/>
        </w:sect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-1731645</wp:posOffset>
            </wp:positionH>
            <wp:positionV relativeFrom="paragraph">
              <wp:posOffset>836930</wp:posOffset>
            </wp:positionV>
            <wp:extent cx="9144000" cy="6468110"/>
            <wp:effectExtent l="0" t="0" r="8890" b="0"/>
            <wp:wrapNone/>
            <wp:docPr id="3" name="图片 3" descr="C:\Users\Administrator\Desktop\附图_15.png附图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附图_15.png附图_1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646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五、实施与管理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（一）各乡镇（街道）对本辖区内的声环境质量负责。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生态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环境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主管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部门对本区域内的环境噪声污染防治实施统一监督管理。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（三）规划部门在制定城乡规划时，应当确定保护和改善声环境的目标和任务；在确定建设布局时，应提出相应的规划设计要求。在规划建设康复疗养设施有安静需求的区域时，声环境质量标准按0类声环境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质量标准执行。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（四）公安、住建、交通运输、城管等行政管理部门应根据各自职责，对交通运输、社会生活噪声及施工噪声污染防治实施监督管理。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本方案未尽事宜，参照有关法律、法规和规章的相关条款执行。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textAlignment w:val="baseline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附件：《尉氏县中心城区声环境功能区划分部门职责清单》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0" w:firstLineChars="0"/>
        <w:jc w:val="both"/>
        <w:textAlignment w:val="baseline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0" w:firstLineChars="0"/>
        <w:jc w:val="both"/>
        <w:textAlignment w:val="baseline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0" w:firstLineChars="0"/>
        <w:jc w:val="center"/>
        <w:textAlignment w:val="baseline"/>
        <w:rPr>
          <w:rFonts w:hint="eastAsia" w:ascii="文星标宋" w:hAnsi="文星标宋" w:eastAsia="文星标宋" w:cs="文星标宋"/>
          <w:b w:val="0"/>
          <w:bC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文星标宋" w:hAnsi="文星标宋" w:eastAsia="文星标宋" w:cs="文星标宋"/>
          <w:b w:val="0"/>
          <w:bC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尉氏县中心城区声环境功能区划分部门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0" w:firstLineChars="0"/>
        <w:jc w:val="center"/>
        <w:textAlignment w:val="baseline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文星标宋" w:hAnsi="文星标宋" w:eastAsia="文星标宋" w:cs="文星标宋"/>
          <w:b w:val="0"/>
          <w:bC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职责清单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-186055</wp:posOffset>
                </wp:positionH>
                <wp:positionV relativeFrom="paragraph">
                  <wp:posOffset>-440055</wp:posOffset>
                </wp:positionV>
                <wp:extent cx="469265" cy="269875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default" w:ascii="Times New Roman" w:hAnsi="Times New Roman" w:eastAsia="黑体" w:cs="Times New Roman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4.65pt;margin-top:-34.65pt;height:21.25pt;width:36.95pt;z-index:251664384;v-text-anchor:middle;mso-width-relative:page;mso-height-relative:page;" filled="f" stroked="f" coordsize="21600,21600" o:gfxdata="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MwGvZ7WAAAACgEAAA8AAAAAAAAAAQAg&#10;AAAAIgAAAGRycy9kb3ducmV2LnhtbFBLAQIUABQAAAAIAIdO4kDFkTfUSQIAAIUEAAAOAAAAAAAA&#10;AAEAIAAAACUBAABkcnMvZTJvRG9jLnhtbFBLBQYAAAAABgAGAFkBAADgBQAAAAA=&#10;">
                <v:fill on="f" focussize="0,0"/>
                <v:stroke on="f" weight="2pt"/>
                <v:imagedata o:title=""/>
                <o:lock v:ext="edit" aspectratio="f"/>
                <v:textbox inset="0mm,0mm,0mm,0mm">
                  <w:txbxContent>
                    <w:p>
                      <w:pPr>
                        <w:ind w:left="0" w:leftChars="0" w:firstLine="0" w:firstLineChars="0"/>
                        <w:jc w:val="both"/>
                        <w:rPr>
                          <w:rFonts w:hint="default" w:ascii="Times New Roman" w:hAnsi="Times New Roman" w:eastAsia="黑体" w:cs="Times New Roman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各乡镇（街道）：按照属地管理原则，对本辖区内的声环境质量总负责。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生态环境部门：对本区域内的环境噪声污染防治实施统一监督管理，主要负责工业噪声监督管理。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城市管理部门：负责建筑施工、市政道路施工噪声，根据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部门职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责划分负责社会生活噪声的监督管理。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公安部门：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负责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社会生活噪声和交通噪声的监督管理。其中社会噪声具体包括1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市区街道、广场、公园等公共场所组织娱乐、集会等活动，使用音响器材发出的噪音。2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家用电器、乐器或者是进行其他家庭室内娱乐活动时发出的噪音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室内装修活动发出的噪音。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交通运输部门：负责其他道路施工、交通噪声管理。加强对道路的维护和保养，保持道路及设施完好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降低车辆通行产生的噪声。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自然资源规划部门：在制定城乡规划时，确定保护和改善声环境的目标和任务；科学规划道路和敏感建筑物集中区之间的防护距离，防止噪声扰民问题的发生。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文广旅游部门：组织电视台、广播电台、网络等媒体积极开展噪声功能区宣传工作。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教育部门：组织好中、小学生的噪声污染知识普及工作。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住建部门：加强对民用建筑隔声设计和施工强制性标准执行情况的监督管理，推广使用降噪、防振的产品和材料。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195580</wp:posOffset>
                </wp:positionV>
                <wp:extent cx="569595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5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4pt;margin-top:15.4pt;height:0pt;width:448.5pt;z-index:251666432;mso-width-relative:page;mso-height-relative:page;" filled="f" stroked="t" coordsize="21600,21600" o:gfxdata="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x&#10;6sLY0wAAAAYBAAAPAAAAAAAAAAEAIAAAACIAAABkcnMvZG93bnJldi54bWxQSwECFAAUAAAACACH&#10;TuJAf2zC8PABAADVAwAADgAAAAAAAAABACAAAAAiAQAAZHJzL2Uyb0RvYy54bWxQSwUGAAAAAAYA&#10;BgBZAQAAhAUAAAAA&#10;">
                <v:fill on="f" focussize="0,0"/>
                <v:stroke color="#000000 [3200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2"/>
        <w:ind w:left="0" w:leftChars="0" w:firstLine="0" w:firstLineChars="0"/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347980</wp:posOffset>
                </wp:positionV>
                <wp:extent cx="5695950" cy="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19480" y="9406255"/>
                          <a:ext cx="5695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4pt;margin-top:27.4pt;height:0pt;width:448.5pt;z-index:251665408;mso-width-relative:page;mso-height-relative:page;" filled="f" stroked="t" coordsize="21600,21600" o:gfxdata="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fUpGV0wAAAAYBAAAPAAAAAAAAAAEAIAAAACIAAABkcnMvZG93bnJldi54bWxQ&#10;SwECFAAUAAAACACHTuJAUF7pxPwBAADgAwAADgAAAAAAAAABACAAAAAiAQAAZHJzL2Uyb0RvYy54&#10;bWxQSwUGAAAAAAYABgBZAQAAkAUAAAAA&#10;">
                <v:fill on="f" focussize="0,0"/>
                <v:stroke color="#000000 [3200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尉氏县人民政府办公室                                          2022年12月20日印发</w:t>
      </w:r>
    </w:p>
    <w:sectPr>
      <w:headerReference r:id="rId6" w:type="default"/>
      <w:pgSz w:w="11910" w:h="16840"/>
      <w:pgMar w:top="1800" w:right="1440" w:bottom="1800" w:left="1440" w:header="0" w:footer="1457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文星标宋">
    <w:panose1 w:val="0201060900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0" w:leftChars="0" w:firstLine="0" w:firstLineChars="0"/>
      <w:rPr>
        <w:rFonts w:ascii="宋体" w:hAnsi="宋体" w:eastAsia="宋体" w:cs="宋体"/>
        <w:sz w:val="26"/>
        <w:szCs w:val="26"/>
      </w:rPr>
    </w:pPr>
    <w:r>
      <w:rPr>
        <w:sz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ZWUzMjI4YzAzNmZmMzAyOTFmNjNiZDEzNjI0YjZmMTQifQ=="/>
  </w:docVars>
  <w:rsids>
    <w:rsidRoot w:val="00000000"/>
    <w:rsid w:val="06693662"/>
    <w:rsid w:val="068F128E"/>
    <w:rsid w:val="0A7E0DB1"/>
    <w:rsid w:val="0CBE51DF"/>
    <w:rsid w:val="0F862F82"/>
    <w:rsid w:val="0FDE407A"/>
    <w:rsid w:val="1E6C499A"/>
    <w:rsid w:val="2640545F"/>
    <w:rsid w:val="26846559"/>
    <w:rsid w:val="2C580ADD"/>
    <w:rsid w:val="2DDF5301"/>
    <w:rsid w:val="44C476E2"/>
    <w:rsid w:val="4C1C251D"/>
    <w:rsid w:val="4D141CF2"/>
    <w:rsid w:val="4DBE0495"/>
    <w:rsid w:val="4F981431"/>
    <w:rsid w:val="53E30C78"/>
    <w:rsid w:val="56DF417F"/>
    <w:rsid w:val="5EDC1FDF"/>
    <w:rsid w:val="629D5AAB"/>
    <w:rsid w:val="6A4A73D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360" w:lineRule="auto"/>
      <w:ind w:firstLine="420" w:firstLineChars="200"/>
      <w:jc w:val="left"/>
      <w:textAlignment w:val="baseline"/>
    </w:pPr>
    <w:rPr>
      <w:rFonts w:ascii="Times New Roman" w:hAnsi="Times New Roman" w:eastAsia="宋体" w:cs="Times New Roman"/>
      <w:snapToGrid w:val="0"/>
      <w:color w:val="000000"/>
      <w:kern w:val="0"/>
      <w:sz w:val="28"/>
      <w:szCs w:val="21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widowControl w:val="0"/>
      <w:tabs>
        <w:tab w:val="left" w:pos="0"/>
      </w:tabs>
      <w:adjustRightInd w:val="0"/>
      <w:spacing w:line="420" w:lineRule="atLeast"/>
      <w:ind w:firstLine="420" w:firstLineChars="200"/>
      <w:jc w:val="left"/>
      <w:textAlignment w:val="baseline"/>
    </w:pPr>
    <w:rPr>
      <w:rFonts w:ascii="宋体" w:hAnsi="Times New Roman" w:eastAsia="仿宋" w:cs="宋体"/>
      <w:kern w:val="0"/>
      <w:sz w:val="28"/>
      <w:szCs w:val="20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18</Pages>
  <Words>3993</Words>
  <Characters>4652</Characters>
  <TotalTime>64</TotalTime>
  <ScaleCrop>false</ScaleCrop>
  <LinksUpToDate>false</LinksUpToDate>
  <CharactersWithSpaces>4733</CharactersWithSpaces>
  <Application>WPS Office_11.1.0.12980_F1E327BC-269C-435d-A152-05C5408002CA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2022-11-23T16:58:00Z</dcterms:created>
  <dc:creator>Kingsoft-PDF</dc:creator>
  <cp:keywords>637de098c1ea6f00168bd155</cp:keywords>
  <cp:lastModifiedBy>某栋</cp:lastModifiedBy>
  <cp:lastPrinted>2022-12-19T10:10:06Z</cp:lastPrinted>
  <dcterms:modified xsi:type="dcterms:W3CDTF">2022-12-19T10:10:08Z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2022-11-23T16:58:19Z</vt:filetime>
  </property>
  <property fmtid="{D5CDD505-2E9C-101B-9397-08002B2CF9AE}" pid="4" name="KSOProductBuildVer">
    <vt:lpwstr>2052-11.1.0.12980</vt:lpwstr>
  </property>
  <property fmtid="{D5CDD505-2E9C-101B-9397-08002B2CF9AE}" pid="5" name="ICV">
    <vt:lpwstr>5E0687F395D64965A3D94F4C664B1BDD</vt:lpwstr>
  </property>
</Properties>
</file>