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4" w:firstLineChars="20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尉氏县统计局检查频次上限</w:t>
      </w:r>
    </w:p>
    <w:p>
      <w:pPr>
        <w:jc w:val="both"/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一、制定依据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《中华人民共和国统计法》《中华人民共和国统计法实施条例》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《国务院办公厅关于严格规范涉企行政检查的意见》（国办发〔2024〕54号）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《河南省人民政府办公厅关于严格规范涉企行政检查的实施意见》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《统计执法监督检查办法》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二、适用范围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本规定适用于尉氏县统计局对行政区域内纳入国家、省、市统计调查范围的企业法人单位实施的各类涉企行政检查，涵盖常规抽查、专项检查等，法律、法规另有规定的除外。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三、分类频次上限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（一）重点监管对象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对象范围：规模以上工业企业、限额以上批发零售和住宿餐饮业企业、规模以上服务业企业、房地产开发经营企业、资质以上建筑业企业。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频次上限：同一企业每年接受检查不超过1次。检查采用按季度分批推进方式，每季度抽查比例约25%，确保年度内对重点监管对象实现精准覆盖，避免集中检查干扰企业经营。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（二）一般监管对象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对象范围：除重点监管对象外，其他纳入国家统计调查范围的企业法人单位。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频次上限：年度抽查比例控制在30%以内，同一企业每2年接受检查不超过1次，单次检查后1年内不得重复检查。优先采用非现场检查方式，减少入企频次。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（三）信用与风险分类差异化频次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对信用等级高、统计工作规范、连续3年数据无异常的企业，可降低抽查比例，每3年检查不超过1次。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对信用等级较低、数据波动异常但未触发特殊情形的企业，可适当提高抽查比例，但年度检查仍不超过1次，且需提前书面说明理由。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四、不受频次上限限制的情形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出现以下情况时，可突破上述频次限制开展检查，但需在检查结束后15个工作日内报同级司法行政部门备案：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收到明确的统计造假、弄虚作假投诉举报，且线索具体可查的；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上级部门转办交办、数据监测发现重大异常线索，需核查核实的；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企业发生统计违法行为后，需对整改情况进行复查的；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开展经济普查、农业普查等重大国情国力调查，需进行现场核查的；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其他依法依规确需开展检查的紧急情形。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五、配套管理要求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联合检查统筹：与市场监管、税务等部门推行“综合查一次”，同一企业涉及多项检查事项的，原则上合并开展联合检查，避免重复入企。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检查信息备案：所有入企检查均通过河南省营商环境“扫码入企”平台报备，明确检查依据、事由及频次说明，接受企业和社会监督。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频次动态监测：建立检查频次台账，每季度汇总分析检查情况，对明显超过合理频次的检查及时叫停并整改，结果纳入行政执法年度统计。</w:t>
      </w:r>
    </w:p>
    <w:p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六、附则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本规定自发布之日起施行，由尉氏县统计局执法监督检查机构负责解释。</w:t>
      </w:r>
    </w:p>
    <w:p>
      <w:pPr>
        <w:ind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若国家统计局、河南省统计局后续公布统计领域专项检查频次规定，从其规定执行。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4B642000"/>
    <w:rsid w:val="44A37EC5"/>
    <w:rsid w:val="4B6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2025-10-28T08:20:00Z</dcterms:created>
  <dc:creator>南极火山</dc:creator>
  <cp:lastModifiedBy>小木匠mojito</cp:lastModifiedBy>
  <dcterms:modified xsi:type="dcterms:W3CDTF">2025-10-30T01:53:30Z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87413BB1F8E34CA6906A82E88E5C789C_11</vt:lpwstr>
  </property>
  <property fmtid="{D5CDD505-2E9C-101B-9397-08002B2CF9AE}" pid="4" name="KSOTemplateDocerSaveRecord">
    <vt:lpwstr>eyJoZGlkIjoiN2MxYjgyM2E4MjE2NzQxYWZhNmEyYmI3MmUwMDE2Y2IiLCJ1c2VySWQiOiI5NjI2NTEwOTAifQ==</vt:lpwstr>
  </property>
</Properties>
</file>