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974441">
      <w:pPr>
        <w:jc w:val="center"/>
        <w:rPr>
          <w:rFonts w:ascii="宋体" w:hAnsi="宋体" w:cs="宋体"/>
          <w:color w:val="000000"/>
          <w:spacing w:val="2"/>
          <w:sz w:val="52"/>
        </w:rPr>
      </w:pPr>
    </w:p>
    <w:p w14:paraId="307A986E">
      <w:pPr>
        <w:jc w:val="center"/>
        <w:rPr>
          <w:rFonts w:ascii="宋体" w:hAnsi="宋体" w:cs="宋体"/>
          <w:color w:val="000000"/>
          <w:spacing w:val="2"/>
          <w:sz w:val="52"/>
        </w:rPr>
      </w:pPr>
    </w:p>
    <w:p w14:paraId="1D705214">
      <w:pPr>
        <w:jc w:val="center"/>
        <w:rPr>
          <w:rFonts w:hint="eastAsia" w:ascii="宋体" w:hAnsi="宋体" w:cs="宋体"/>
          <w:color w:val="000000"/>
          <w:spacing w:val="3"/>
          <w:sz w:val="52"/>
          <w:lang w:val="en-US" w:eastAsia="zh-CN"/>
        </w:rPr>
      </w:pPr>
      <w:r>
        <w:rPr>
          <w:rFonts w:hint="eastAsia" w:ascii="宋体" w:hAnsi="宋体" w:cs="宋体"/>
          <w:color w:val="000000"/>
          <w:spacing w:val="3"/>
          <w:sz w:val="52"/>
          <w:lang w:val="en-US" w:eastAsia="zh-CN"/>
        </w:rPr>
        <w:t>尉政土【2021】42号地块</w:t>
      </w:r>
    </w:p>
    <w:p w14:paraId="75EA6FC3">
      <w:pPr>
        <w:jc w:val="center"/>
        <w:rPr>
          <w:rFonts w:ascii="宋体" w:hAnsi="宋体" w:cs="宋体"/>
          <w:color w:val="000000"/>
          <w:spacing w:val="2"/>
          <w:sz w:val="52"/>
        </w:rPr>
      </w:pPr>
      <w:r>
        <w:rPr>
          <w:rFonts w:ascii="宋体" w:hAnsi="宋体" w:cs="宋体"/>
          <w:color w:val="000000"/>
          <w:spacing w:val="2"/>
          <w:sz w:val="52"/>
        </w:rPr>
        <w:t>用地性质调整</w:t>
      </w:r>
    </w:p>
    <w:p w14:paraId="2A99E9EF">
      <w:pPr>
        <w:jc w:val="center"/>
        <w:rPr>
          <w:rFonts w:ascii="宋体" w:hAnsi="宋体" w:cs="宋体"/>
          <w:color w:val="000000"/>
          <w:spacing w:val="2"/>
          <w:sz w:val="52"/>
        </w:rPr>
      </w:pPr>
    </w:p>
    <w:p w14:paraId="6A05256A">
      <w:pPr>
        <w:widowControl w:val="0"/>
        <w:autoSpaceDE w:val="0"/>
        <w:autoSpaceDN w:val="0"/>
        <w:adjustRightInd w:val="0"/>
        <w:spacing w:before="0" w:after="0" w:line="521" w:lineRule="exact"/>
        <w:ind w:left="0" w:right="0" w:firstLine="0"/>
        <w:jc w:val="center"/>
        <w:rPr>
          <w:rFonts w:ascii="JQDLJM+KaiTi_GB2312"/>
          <w:color w:val="000000"/>
          <w:spacing w:val="0"/>
          <w:sz w:val="52"/>
        </w:rPr>
      </w:pPr>
      <w:r>
        <w:rPr>
          <w:rFonts w:ascii="JQDLJM+KaiTi_GB2312" w:hAnsi="JQDLJM+KaiTi_GB2312" w:cs="JQDLJM+KaiTi_GB2312"/>
          <w:color w:val="000000"/>
          <w:spacing w:val="0"/>
          <w:sz w:val="52"/>
        </w:rPr>
        <w:t>论</w:t>
      </w:r>
    </w:p>
    <w:p w14:paraId="01F4C5B6">
      <w:pPr>
        <w:widowControl w:val="0"/>
        <w:autoSpaceDE w:val="0"/>
        <w:autoSpaceDN w:val="0"/>
        <w:adjustRightInd w:val="0"/>
        <w:spacing w:before="415" w:after="0" w:line="521" w:lineRule="exact"/>
        <w:ind w:left="0" w:right="0" w:firstLine="0"/>
        <w:jc w:val="center"/>
        <w:rPr>
          <w:rFonts w:ascii="JQDLJM+KaiTi_GB2312"/>
          <w:color w:val="000000"/>
          <w:spacing w:val="0"/>
          <w:sz w:val="52"/>
        </w:rPr>
      </w:pPr>
      <w:r>
        <w:rPr>
          <w:rFonts w:ascii="JQDLJM+KaiTi_GB2312" w:hAnsi="JQDLJM+KaiTi_GB2312" w:cs="JQDLJM+KaiTi_GB2312"/>
          <w:color w:val="000000"/>
          <w:spacing w:val="0"/>
          <w:sz w:val="52"/>
        </w:rPr>
        <w:t>证</w:t>
      </w:r>
    </w:p>
    <w:p w14:paraId="538B83C8">
      <w:pPr>
        <w:widowControl w:val="0"/>
        <w:autoSpaceDE w:val="0"/>
        <w:autoSpaceDN w:val="0"/>
        <w:adjustRightInd w:val="0"/>
        <w:spacing w:before="415" w:after="0" w:line="521" w:lineRule="exact"/>
        <w:ind w:left="0" w:right="0" w:firstLine="0"/>
        <w:jc w:val="center"/>
        <w:rPr>
          <w:rFonts w:hint="eastAsia" w:ascii="JQDLJM+KaiTi_GB2312" w:hAnsi="JQDLJM+KaiTi_GB2312" w:eastAsia="宋体" w:cs="JQDLJM+KaiTi_GB2312"/>
          <w:color w:val="000000"/>
          <w:spacing w:val="0"/>
          <w:sz w:val="52"/>
          <w:lang w:eastAsia="zh-CN"/>
        </w:rPr>
      </w:pPr>
      <w:r>
        <w:rPr>
          <w:rFonts w:ascii="JQDLJM+KaiTi_GB2312" w:hAnsi="JQDLJM+KaiTi_GB2312" w:cs="JQDLJM+KaiTi_GB2312"/>
          <w:color w:val="000000"/>
          <w:spacing w:val="0"/>
          <w:sz w:val="52"/>
        </w:rPr>
        <w:t>报</w:t>
      </w:r>
    </w:p>
    <w:p w14:paraId="735E3BAE">
      <w:pPr>
        <w:widowControl w:val="0"/>
        <w:autoSpaceDE w:val="0"/>
        <w:autoSpaceDN w:val="0"/>
        <w:adjustRightInd w:val="0"/>
        <w:spacing w:before="415" w:after="0" w:line="521" w:lineRule="exact"/>
        <w:ind w:left="0" w:right="0" w:firstLine="0"/>
        <w:jc w:val="center"/>
        <w:rPr>
          <w:rFonts w:ascii="JQDLJM+KaiTi_GB2312"/>
          <w:color w:val="000000"/>
          <w:spacing w:val="0"/>
          <w:sz w:val="52"/>
        </w:rPr>
      </w:pPr>
      <w:r>
        <w:rPr>
          <w:rFonts w:ascii="JQDLJM+KaiTi_GB2312" w:hAnsi="JQDLJM+KaiTi_GB2312" w:cs="JQDLJM+KaiTi_GB2312"/>
          <w:color w:val="000000"/>
          <w:spacing w:val="0"/>
          <w:sz w:val="52"/>
        </w:rPr>
        <w:t>告</w:t>
      </w:r>
    </w:p>
    <w:p w14:paraId="04123DCC">
      <w:pPr>
        <w:jc w:val="center"/>
        <w:rPr>
          <w:rFonts w:ascii="宋体" w:hAnsi="宋体" w:cs="宋体"/>
          <w:color w:val="000000"/>
          <w:spacing w:val="2"/>
          <w:sz w:val="52"/>
        </w:rPr>
      </w:pPr>
    </w:p>
    <w:p w14:paraId="6626387B">
      <w:pPr>
        <w:jc w:val="center"/>
        <w:rPr>
          <w:rFonts w:ascii="宋体" w:hAnsi="宋体" w:cs="宋体"/>
          <w:color w:val="000000"/>
          <w:spacing w:val="2"/>
          <w:sz w:val="52"/>
        </w:rPr>
      </w:pPr>
    </w:p>
    <w:p w14:paraId="1D50FFB8">
      <w:pPr>
        <w:jc w:val="center"/>
        <w:rPr>
          <w:rFonts w:hint="eastAsia" w:ascii="宋体" w:hAnsi="宋体" w:cs="宋体"/>
          <w:color w:val="000000"/>
          <w:spacing w:val="2"/>
          <w:sz w:val="28"/>
          <w:szCs w:val="28"/>
          <w:lang w:val="en-US" w:eastAsia="zh-CN"/>
        </w:rPr>
      </w:pPr>
    </w:p>
    <w:p w14:paraId="6C2C8C22">
      <w:pPr>
        <w:jc w:val="center"/>
        <w:rPr>
          <w:rFonts w:hint="eastAsia" w:ascii="宋体" w:hAnsi="宋体" w:cs="宋体"/>
          <w:color w:val="000000"/>
          <w:spacing w:val="2"/>
          <w:sz w:val="28"/>
          <w:szCs w:val="28"/>
          <w:lang w:val="en-US" w:eastAsia="zh-CN"/>
        </w:rPr>
      </w:pPr>
    </w:p>
    <w:p w14:paraId="2FEC2B35">
      <w:pPr>
        <w:jc w:val="center"/>
        <w:rPr>
          <w:rFonts w:ascii="宋体" w:hAnsi="宋体" w:cs="宋体"/>
          <w:color w:val="000000"/>
          <w:spacing w:val="2"/>
          <w:sz w:val="52"/>
        </w:rPr>
      </w:pPr>
      <w:r>
        <w:rPr>
          <w:rFonts w:hint="eastAsia" w:ascii="宋体" w:hAnsi="宋体" w:cs="宋体"/>
          <w:color w:val="000000"/>
          <w:spacing w:val="2"/>
          <w:sz w:val="28"/>
          <w:szCs w:val="28"/>
          <w:lang w:val="en-US" w:eastAsia="zh-CN"/>
        </w:rPr>
        <w:t>广州名阳建筑设计有限公司</w:t>
      </w:r>
    </w:p>
    <w:p w14:paraId="77161732">
      <w:pPr>
        <w:jc w:val="center"/>
        <w:rPr>
          <w:rFonts w:ascii="宋体" w:hAnsi="宋体" w:cs="宋体"/>
          <w:color w:val="000000"/>
          <w:spacing w:val="0"/>
          <w:sz w:val="28"/>
        </w:rPr>
      </w:pPr>
      <w:r>
        <w:rPr>
          <w:rFonts w:ascii="宋体"/>
          <w:color w:val="000000"/>
          <w:spacing w:val="0"/>
          <w:sz w:val="28"/>
        </w:rPr>
        <w:t>202</w:t>
      </w:r>
      <w:r>
        <w:rPr>
          <w:rFonts w:hint="eastAsia" w:ascii="宋体"/>
          <w:color w:val="000000"/>
          <w:spacing w:val="0"/>
          <w:sz w:val="28"/>
          <w:lang w:val="en-US" w:eastAsia="zh-CN"/>
        </w:rPr>
        <w:t>5</w:t>
      </w:r>
      <w:r>
        <w:rPr>
          <w:rFonts w:ascii="Times New Roman"/>
          <w:color w:val="000000"/>
          <w:spacing w:val="-1"/>
          <w:sz w:val="28"/>
        </w:rPr>
        <w:t xml:space="preserve"> </w:t>
      </w:r>
      <w:r>
        <w:rPr>
          <w:rFonts w:ascii="宋体" w:hAnsi="宋体" w:cs="宋体"/>
          <w:color w:val="000000"/>
          <w:spacing w:val="0"/>
          <w:sz w:val="28"/>
        </w:rPr>
        <w:t>年</w:t>
      </w:r>
      <w:r>
        <w:rPr>
          <w:rFonts w:ascii="Times New Roman"/>
          <w:color w:val="000000"/>
          <w:spacing w:val="0"/>
          <w:sz w:val="28"/>
        </w:rPr>
        <w:t xml:space="preserve"> </w:t>
      </w:r>
      <w:r>
        <w:rPr>
          <w:rFonts w:ascii="宋体"/>
          <w:color w:val="000000"/>
          <w:spacing w:val="2"/>
          <w:sz w:val="28"/>
        </w:rPr>
        <w:t>0</w:t>
      </w:r>
      <w:r>
        <w:rPr>
          <w:rFonts w:hint="eastAsia" w:ascii="宋体"/>
          <w:color w:val="000000"/>
          <w:spacing w:val="2"/>
          <w:sz w:val="28"/>
          <w:lang w:val="en-US" w:eastAsia="zh-CN"/>
        </w:rPr>
        <w:t>3</w:t>
      </w:r>
      <w:r>
        <w:rPr>
          <w:rFonts w:ascii="Times New Roman"/>
          <w:color w:val="000000"/>
          <w:spacing w:val="-3"/>
          <w:sz w:val="28"/>
        </w:rPr>
        <w:t xml:space="preserve"> </w:t>
      </w:r>
      <w:r>
        <w:rPr>
          <w:rFonts w:ascii="宋体" w:hAnsi="宋体" w:cs="宋体"/>
          <w:color w:val="000000"/>
          <w:spacing w:val="0"/>
          <w:sz w:val="28"/>
        </w:rPr>
        <w:t>月</w:t>
      </w:r>
    </w:p>
    <w:p w14:paraId="32EA3AA7">
      <w:pPr>
        <w:bidi w:val="0"/>
        <w:ind w:left="0" w:leftChars="0" w:firstLine="0" w:firstLineChars="0"/>
        <w:jc w:val="both"/>
        <w:rPr>
          <w:rFonts w:hint="eastAsia"/>
          <w:b/>
          <w:bCs/>
          <w:sz w:val="32"/>
          <w:szCs w:val="32"/>
          <w:lang w:val="en-US" w:eastAsia="zh-CN"/>
        </w:rPr>
      </w:pPr>
      <w:bookmarkStart w:id="32" w:name="_GoBack"/>
      <w:bookmarkEnd w:id="32"/>
    </w:p>
    <w:p w14:paraId="7CFE8DA7">
      <w:pPr>
        <w:bidi w:val="0"/>
        <w:jc w:val="center"/>
        <w:rPr>
          <w:rFonts w:hint="eastAsia"/>
          <w:b/>
          <w:bCs/>
          <w:sz w:val="32"/>
          <w:szCs w:val="32"/>
          <w:lang w:val="en-US" w:eastAsia="zh-CN"/>
        </w:rPr>
      </w:pPr>
    </w:p>
    <w:p w14:paraId="73E5AF96">
      <w:pPr>
        <w:ind w:left="0" w:leftChars="0" w:firstLine="0" w:firstLineChars="0"/>
        <w:rPr>
          <w:rFonts w:hint="eastAsia"/>
          <w:b/>
          <w:bCs/>
          <w:sz w:val="32"/>
          <w:szCs w:val="32"/>
          <w:lang w:val="en-US" w:eastAsia="zh-CN"/>
        </w:rPr>
        <w:sectPr>
          <w:pgSz w:w="11906" w:h="16838"/>
          <w:pgMar w:top="1440" w:right="1800" w:bottom="1440" w:left="1800" w:header="851" w:footer="992" w:gutter="0"/>
          <w:cols w:space="425" w:num="1"/>
          <w:docGrid w:type="lines" w:linePitch="312" w:charSpace="0"/>
        </w:sectPr>
      </w:pPr>
    </w:p>
    <w:sdt>
      <w:sdtPr>
        <w:rPr>
          <w:rFonts w:ascii="宋体" w:hAnsi="宋体" w:eastAsia="宋体" w:cs="Times New Roman"/>
          <w:b/>
          <w:bCs/>
          <w:sz w:val="32"/>
          <w:szCs w:val="32"/>
          <w:lang w:val="en-US" w:eastAsia="zh-CN" w:bidi="ar-SA"/>
        </w:rPr>
        <w:id w:val="147481525"/>
        <w15:color w:val="DBDBDB"/>
        <w:docPartObj>
          <w:docPartGallery w:val="Table of Contents"/>
          <w:docPartUnique/>
        </w:docPartObj>
      </w:sdtPr>
      <w:sdtEndPr>
        <w:rPr>
          <w:rFonts w:hint="eastAsia" w:ascii="Calibri" w:hAnsi="Calibri" w:eastAsia="宋体" w:cs="Times New Roman"/>
          <w:b/>
          <w:bCs/>
          <w:sz w:val="28"/>
          <w:szCs w:val="32"/>
          <w:lang w:val="en-US" w:eastAsia="zh-CN" w:bidi="ar-SA"/>
        </w:rPr>
      </w:sdtEndPr>
      <w:sdtContent>
        <w:p w14:paraId="6EB4893B">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w:t>
          </w:r>
          <w:r>
            <w:rPr>
              <w:rFonts w:hint="eastAsia" w:ascii="宋体" w:hAnsi="宋体"/>
              <w:b/>
              <w:bCs/>
              <w:sz w:val="32"/>
              <w:szCs w:val="32"/>
              <w:lang w:val="en-US" w:eastAsia="zh-CN"/>
            </w:rPr>
            <w:t xml:space="preserve">  </w:t>
          </w:r>
          <w:r>
            <w:rPr>
              <w:rFonts w:ascii="宋体" w:hAnsi="宋体" w:eastAsia="宋体"/>
              <w:b/>
              <w:bCs/>
              <w:sz w:val="32"/>
              <w:szCs w:val="32"/>
            </w:rPr>
            <w:t>录</w:t>
          </w:r>
        </w:p>
        <w:p w14:paraId="7C6F8E32">
          <w:pPr>
            <w:pStyle w:val="7"/>
            <w:tabs>
              <w:tab w:val="right" w:leader="dot" w:pos="8306"/>
            </w:tabs>
          </w:pPr>
          <w:r>
            <w:rPr>
              <w:rFonts w:hint="eastAsia"/>
              <w:b/>
              <w:bCs/>
              <w:sz w:val="32"/>
              <w:szCs w:val="32"/>
              <w:lang w:val="en-US" w:eastAsia="zh-CN"/>
            </w:rPr>
            <w:fldChar w:fldCharType="begin"/>
          </w:r>
          <w:r>
            <w:rPr>
              <w:rFonts w:hint="eastAsia"/>
              <w:b/>
              <w:bCs/>
              <w:sz w:val="32"/>
              <w:szCs w:val="32"/>
              <w:lang w:val="en-US" w:eastAsia="zh-CN"/>
            </w:rPr>
            <w:instrText xml:space="preserve">TOC \o "1-2" \h \u </w:instrText>
          </w:r>
          <w:r>
            <w:rPr>
              <w:rFonts w:hint="eastAsia"/>
              <w:b/>
              <w:bCs/>
              <w:sz w:val="32"/>
              <w:szCs w:val="32"/>
              <w:lang w:val="en-US" w:eastAsia="zh-CN"/>
            </w:rPr>
            <w:fldChar w:fldCharType="separate"/>
          </w:r>
          <w:r>
            <w:rPr>
              <w:rFonts w:hint="eastAsia"/>
              <w:bCs/>
              <w:szCs w:val="32"/>
              <w:lang w:val="en-US" w:eastAsia="zh-CN"/>
            </w:rPr>
            <w:fldChar w:fldCharType="begin"/>
          </w:r>
          <w:r>
            <w:rPr>
              <w:rFonts w:hint="eastAsia"/>
              <w:bCs/>
              <w:szCs w:val="32"/>
              <w:lang w:val="en-US" w:eastAsia="zh-CN"/>
            </w:rPr>
            <w:instrText xml:space="preserve"> HYPERLINK \l _Toc1348 </w:instrText>
          </w:r>
          <w:r>
            <w:rPr>
              <w:rFonts w:hint="eastAsia"/>
              <w:bCs/>
              <w:szCs w:val="32"/>
              <w:lang w:val="en-US" w:eastAsia="zh-CN"/>
            </w:rPr>
            <w:fldChar w:fldCharType="separate"/>
          </w:r>
          <w:r>
            <w:rPr>
              <w:rFonts w:hint="eastAsia"/>
              <w:lang w:val="en-US" w:eastAsia="zh-CN"/>
            </w:rPr>
            <w:t>第一章项目解读</w:t>
          </w:r>
          <w:r>
            <w:tab/>
          </w:r>
          <w:r>
            <w:fldChar w:fldCharType="begin"/>
          </w:r>
          <w:r>
            <w:instrText xml:space="preserve"> PAGEREF _Toc1348 \h </w:instrText>
          </w:r>
          <w:r>
            <w:fldChar w:fldCharType="separate"/>
          </w:r>
          <w:r>
            <w:t>- 1 -</w:t>
          </w:r>
          <w:r>
            <w:fldChar w:fldCharType="end"/>
          </w:r>
          <w:r>
            <w:rPr>
              <w:rFonts w:hint="eastAsia"/>
              <w:bCs/>
              <w:szCs w:val="32"/>
              <w:lang w:val="en-US" w:eastAsia="zh-CN"/>
            </w:rPr>
            <w:fldChar w:fldCharType="end"/>
          </w:r>
        </w:p>
        <w:p w14:paraId="0E98DD6C">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_Toc23751 </w:instrText>
          </w:r>
          <w:r>
            <w:rPr>
              <w:rFonts w:hint="eastAsia"/>
              <w:bCs/>
              <w:szCs w:val="32"/>
              <w:lang w:val="en-US" w:eastAsia="zh-CN"/>
            </w:rPr>
            <w:fldChar w:fldCharType="separate"/>
          </w:r>
          <w:r>
            <w:rPr>
              <w:rFonts w:hint="default" w:ascii="Arial" w:hAnsi="Arial" w:eastAsia="黑体" w:cs="Times New Roman"/>
              <w:szCs w:val="22"/>
              <w:lang w:val="en-US" w:eastAsia="zh-CN" w:bidi="ar-SA"/>
            </w:rPr>
            <w:t>1.1</w:t>
          </w:r>
          <w:r>
            <w:rPr>
              <w:rFonts w:hint="eastAsia"/>
              <w:lang w:val="en-US" w:eastAsia="zh-CN"/>
            </w:rPr>
            <w:t>项目背景</w:t>
          </w:r>
          <w:r>
            <w:tab/>
          </w:r>
          <w:r>
            <w:fldChar w:fldCharType="begin"/>
          </w:r>
          <w:r>
            <w:instrText xml:space="preserve"> PAGEREF _Toc23751 \h </w:instrText>
          </w:r>
          <w:r>
            <w:fldChar w:fldCharType="separate"/>
          </w:r>
          <w:r>
            <w:t>- 1 -</w:t>
          </w:r>
          <w:r>
            <w:fldChar w:fldCharType="end"/>
          </w:r>
          <w:r>
            <w:rPr>
              <w:rFonts w:hint="eastAsia"/>
              <w:bCs/>
              <w:szCs w:val="32"/>
              <w:lang w:val="en-US" w:eastAsia="zh-CN"/>
            </w:rPr>
            <w:fldChar w:fldCharType="end"/>
          </w:r>
        </w:p>
        <w:p w14:paraId="077AEC51">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_Toc31481 </w:instrText>
          </w:r>
          <w:r>
            <w:rPr>
              <w:rFonts w:hint="eastAsia"/>
              <w:bCs/>
              <w:szCs w:val="32"/>
              <w:lang w:val="en-US" w:eastAsia="zh-CN"/>
            </w:rPr>
            <w:fldChar w:fldCharType="separate"/>
          </w:r>
          <w:r>
            <w:rPr>
              <w:rFonts w:hint="eastAsia"/>
              <w:highlight w:val="none"/>
              <w:lang w:val="en-US" w:eastAsia="zh-CN"/>
            </w:rPr>
            <w:t xml:space="preserve">1.2 </w:t>
          </w:r>
          <w:r>
            <w:rPr>
              <w:rFonts w:ascii="黑体" w:hAnsi="黑体" w:cs="黑体"/>
              <w:spacing w:val="1"/>
              <w:highlight w:val="none"/>
            </w:rPr>
            <w:t>项目区位与范围面积</w:t>
          </w:r>
          <w:r>
            <w:tab/>
          </w:r>
          <w:r>
            <w:fldChar w:fldCharType="begin"/>
          </w:r>
          <w:r>
            <w:instrText xml:space="preserve"> PAGEREF _Toc31481 \h </w:instrText>
          </w:r>
          <w:r>
            <w:fldChar w:fldCharType="separate"/>
          </w:r>
          <w:r>
            <w:t>- 6 -</w:t>
          </w:r>
          <w:r>
            <w:fldChar w:fldCharType="end"/>
          </w:r>
          <w:r>
            <w:rPr>
              <w:rFonts w:hint="eastAsia"/>
              <w:bCs/>
              <w:szCs w:val="32"/>
              <w:lang w:val="en-US" w:eastAsia="zh-CN"/>
            </w:rPr>
            <w:fldChar w:fldCharType="end"/>
          </w:r>
        </w:p>
        <w:p w14:paraId="6E966284">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_Toc15453 </w:instrText>
          </w:r>
          <w:r>
            <w:rPr>
              <w:rFonts w:hint="eastAsia"/>
              <w:bCs/>
              <w:szCs w:val="32"/>
              <w:lang w:val="en-US" w:eastAsia="zh-CN"/>
            </w:rPr>
            <w:fldChar w:fldCharType="separate"/>
          </w:r>
          <w:r>
            <w:rPr>
              <w:rFonts w:hint="default" w:ascii="Arial" w:hAnsi="Arial" w:eastAsia="黑体" w:cs="Times New Roman"/>
              <w:szCs w:val="22"/>
              <w:highlight w:val="none"/>
              <w:lang w:val="en-US" w:eastAsia="zh-CN" w:bidi="ar-SA"/>
            </w:rPr>
            <w:t>1.</w:t>
          </w:r>
          <w:r>
            <w:rPr>
              <w:rFonts w:hint="eastAsia" w:cs="Times New Roman"/>
              <w:szCs w:val="22"/>
              <w:highlight w:val="none"/>
              <w:lang w:val="en-US" w:eastAsia="zh-CN" w:bidi="ar-SA"/>
            </w:rPr>
            <w:t xml:space="preserve">3 </w:t>
          </w:r>
          <w:r>
            <w:rPr>
              <w:rFonts w:hint="eastAsia"/>
              <w:highlight w:val="none"/>
              <w:lang w:val="en-US" w:eastAsia="zh-CN"/>
            </w:rPr>
            <w:t>场地内部现状</w:t>
          </w:r>
          <w:r>
            <w:tab/>
          </w:r>
          <w:r>
            <w:fldChar w:fldCharType="begin"/>
          </w:r>
          <w:r>
            <w:instrText xml:space="preserve"> PAGEREF _Toc15453 \h </w:instrText>
          </w:r>
          <w:r>
            <w:fldChar w:fldCharType="separate"/>
          </w:r>
          <w:r>
            <w:t>- 6 -</w:t>
          </w:r>
          <w:r>
            <w:fldChar w:fldCharType="end"/>
          </w:r>
          <w:r>
            <w:rPr>
              <w:rFonts w:hint="eastAsia"/>
              <w:bCs/>
              <w:szCs w:val="32"/>
              <w:lang w:val="en-US" w:eastAsia="zh-CN"/>
            </w:rPr>
            <w:fldChar w:fldCharType="end"/>
          </w:r>
        </w:p>
        <w:p w14:paraId="1480DCA6">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_Toc17846 </w:instrText>
          </w:r>
          <w:r>
            <w:rPr>
              <w:rFonts w:hint="eastAsia"/>
              <w:bCs/>
              <w:szCs w:val="32"/>
              <w:lang w:val="en-US" w:eastAsia="zh-CN"/>
            </w:rPr>
            <w:fldChar w:fldCharType="separate"/>
          </w:r>
          <w:r>
            <w:rPr>
              <w:rFonts w:hint="eastAsia"/>
              <w:highlight w:val="none"/>
              <w:lang w:val="en-US" w:eastAsia="zh-CN"/>
            </w:rPr>
            <w:t>1.4 周边建设情况</w:t>
          </w:r>
          <w:r>
            <w:tab/>
          </w:r>
          <w:r>
            <w:fldChar w:fldCharType="begin"/>
          </w:r>
          <w:r>
            <w:instrText xml:space="preserve"> PAGEREF _Toc17846 \h </w:instrText>
          </w:r>
          <w:r>
            <w:fldChar w:fldCharType="separate"/>
          </w:r>
          <w:r>
            <w:t>- 6 -</w:t>
          </w:r>
          <w:r>
            <w:fldChar w:fldCharType="end"/>
          </w:r>
          <w:r>
            <w:rPr>
              <w:rFonts w:hint="eastAsia"/>
              <w:bCs/>
              <w:szCs w:val="32"/>
              <w:lang w:val="en-US" w:eastAsia="zh-CN"/>
            </w:rPr>
            <w:fldChar w:fldCharType="end"/>
          </w:r>
        </w:p>
        <w:p w14:paraId="6D098762">
          <w:pPr>
            <w:pStyle w:val="7"/>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_Toc7377 </w:instrText>
          </w:r>
          <w:r>
            <w:rPr>
              <w:rFonts w:hint="eastAsia"/>
              <w:bCs/>
              <w:szCs w:val="32"/>
              <w:lang w:val="en-US" w:eastAsia="zh-CN"/>
            </w:rPr>
            <w:fldChar w:fldCharType="separate"/>
          </w:r>
          <w:r>
            <w:rPr>
              <w:rFonts w:ascii="宋体" w:hAnsi="宋体" w:cs="宋体"/>
              <w:spacing w:val="1"/>
              <w:highlight w:val="none"/>
            </w:rPr>
            <w:t>第二章</w:t>
          </w:r>
          <w:r>
            <w:rPr>
              <w:rFonts w:ascii="Times New Roman"/>
              <w:spacing w:val="89"/>
              <w:highlight w:val="none"/>
            </w:rPr>
            <w:t xml:space="preserve"> </w:t>
          </w:r>
          <w:r>
            <w:rPr>
              <w:rFonts w:ascii="宋体" w:hAnsi="宋体" w:cs="宋体"/>
              <w:spacing w:val="1"/>
              <w:highlight w:val="none"/>
            </w:rPr>
            <w:t>相关规划分析</w:t>
          </w:r>
          <w:r>
            <w:tab/>
          </w:r>
          <w:r>
            <w:fldChar w:fldCharType="begin"/>
          </w:r>
          <w:r>
            <w:instrText xml:space="preserve"> PAGEREF _Toc7377 \h </w:instrText>
          </w:r>
          <w:r>
            <w:fldChar w:fldCharType="separate"/>
          </w:r>
          <w:r>
            <w:t>- 8 -</w:t>
          </w:r>
          <w:r>
            <w:fldChar w:fldCharType="end"/>
          </w:r>
          <w:r>
            <w:rPr>
              <w:rFonts w:hint="eastAsia"/>
              <w:bCs/>
              <w:szCs w:val="32"/>
              <w:lang w:val="en-US" w:eastAsia="zh-CN"/>
            </w:rPr>
            <w:fldChar w:fldCharType="end"/>
          </w:r>
        </w:p>
        <w:p w14:paraId="79E4F87B">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_Toc27389 </w:instrText>
          </w:r>
          <w:r>
            <w:rPr>
              <w:rFonts w:hint="eastAsia"/>
              <w:bCs/>
              <w:szCs w:val="32"/>
              <w:lang w:val="en-US" w:eastAsia="zh-CN"/>
            </w:rPr>
            <w:fldChar w:fldCharType="separate"/>
          </w:r>
          <w:r>
            <w:rPr>
              <w:rFonts w:hint="eastAsia" w:asciiTheme="majorEastAsia" w:hAnsiTheme="majorEastAsia" w:eastAsiaTheme="majorEastAsia" w:cstheme="majorEastAsia"/>
              <w:highlight w:val="none"/>
              <w:lang w:val="en-US" w:eastAsia="zh-CN"/>
            </w:rPr>
            <w:t xml:space="preserve">2.1 </w:t>
          </w:r>
          <w:r>
            <w:rPr>
              <w:rFonts w:hint="eastAsia" w:asciiTheme="majorEastAsia" w:hAnsiTheme="majorEastAsia" w:eastAsiaTheme="majorEastAsia" w:cstheme="majorEastAsia"/>
              <w:highlight w:val="none"/>
            </w:rPr>
            <w:t>《尉氏县</w:t>
          </w:r>
          <w:r>
            <w:rPr>
              <w:rFonts w:hint="eastAsia" w:asciiTheme="majorEastAsia" w:hAnsiTheme="majorEastAsia" w:eastAsiaTheme="majorEastAsia" w:cstheme="majorEastAsia"/>
              <w:highlight w:val="none"/>
              <w:lang w:val="en-US" w:eastAsia="zh-CN"/>
            </w:rPr>
            <w:t>国土空间</w:t>
          </w:r>
          <w:r>
            <w:rPr>
              <w:rFonts w:hint="eastAsia" w:asciiTheme="majorEastAsia" w:hAnsiTheme="majorEastAsia" w:eastAsiaTheme="majorEastAsia" w:cstheme="majorEastAsia"/>
              <w:highlight w:val="none"/>
            </w:rPr>
            <w:t>总体规划》（20</w:t>
          </w:r>
          <w:r>
            <w:rPr>
              <w:rFonts w:hint="eastAsia" w:asciiTheme="majorEastAsia" w:hAnsiTheme="majorEastAsia" w:eastAsiaTheme="majorEastAsia" w:cstheme="majorEastAsia"/>
              <w:highlight w:val="none"/>
              <w:lang w:val="en-US" w:eastAsia="zh-CN"/>
            </w:rPr>
            <w:t>21</w:t>
          </w:r>
          <w:r>
            <w:rPr>
              <w:rFonts w:hint="eastAsia" w:asciiTheme="majorEastAsia" w:hAnsiTheme="majorEastAsia" w:eastAsiaTheme="majorEastAsia" w:cstheme="majorEastAsia"/>
              <w:highlight w:val="none"/>
            </w:rPr>
            <w:t>-2035）</w:t>
          </w:r>
          <w:r>
            <w:tab/>
          </w:r>
          <w:r>
            <w:fldChar w:fldCharType="begin"/>
          </w:r>
          <w:r>
            <w:instrText xml:space="preserve"> PAGEREF _Toc27389 \h </w:instrText>
          </w:r>
          <w:r>
            <w:fldChar w:fldCharType="separate"/>
          </w:r>
          <w:r>
            <w:t>- 8 -</w:t>
          </w:r>
          <w:r>
            <w:fldChar w:fldCharType="end"/>
          </w:r>
          <w:r>
            <w:rPr>
              <w:rFonts w:hint="eastAsia"/>
              <w:bCs/>
              <w:szCs w:val="32"/>
              <w:lang w:val="en-US" w:eastAsia="zh-CN"/>
            </w:rPr>
            <w:fldChar w:fldCharType="end"/>
          </w:r>
        </w:p>
        <w:p w14:paraId="46BB16C5">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_Toc16178 </w:instrText>
          </w:r>
          <w:r>
            <w:rPr>
              <w:rFonts w:hint="eastAsia"/>
              <w:bCs/>
              <w:szCs w:val="32"/>
              <w:lang w:val="en-US" w:eastAsia="zh-CN"/>
            </w:rPr>
            <w:fldChar w:fldCharType="separate"/>
          </w:r>
          <w:r>
            <w:rPr>
              <w:rFonts w:hint="default" w:asciiTheme="majorEastAsia" w:hAnsiTheme="majorEastAsia" w:eastAsiaTheme="majorEastAsia" w:cstheme="majorEastAsia"/>
              <w:highlight w:val="none"/>
              <w:lang w:val="en-US" w:eastAsia="zh-CN"/>
            </w:rPr>
            <w:t xml:space="preserve">2.2 </w:t>
          </w:r>
          <w:r>
            <w:rPr>
              <w:rFonts w:hint="eastAsia" w:asciiTheme="majorEastAsia" w:hAnsiTheme="majorEastAsia" w:eastAsiaTheme="majorEastAsia" w:cstheme="majorEastAsia"/>
              <w:highlight w:val="none"/>
              <w:lang w:val="en-US" w:eastAsia="zh-CN"/>
            </w:rPr>
            <w:t>尉政土【2021】42号地块</w:t>
          </w:r>
          <w:r>
            <w:rPr>
              <w:rFonts w:hint="default" w:asciiTheme="majorEastAsia" w:hAnsiTheme="majorEastAsia" w:eastAsiaTheme="majorEastAsia" w:cstheme="majorEastAsia"/>
              <w:highlight w:val="none"/>
              <w:lang w:val="en-US" w:eastAsia="zh-CN"/>
            </w:rPr>
            <w:t>控制性详细规划</w:t>
          </w:r>
          <w:r>
            <w:tab/>
          </w:r>
          <w:r>
            <w:fldChar w:fldCharType="begin"/>
          </w:r>
          <w:r>
            <w:instrText xml:space="preserve"> PAGEREF _Toc16178 \h </w:instrText>
          </w:r>
          <w:r>
            <w:fldChar w:fldCharType="separate"/>
          </w:r>
          <w:r>
            <w:t>- 14 -</w:t>
          </w:r>
          <w:r>
            <w:fldChar w:fldCharType="end"/>
          </w:r>
          <w:r>
            <w:rPr>
              <w:rFonts w:hint="eastAsia"/>
              <w:bCs/>
              <w:szCs w:val="32"/>
              <w:lang w:val="en-US" w:eastAsia="zh-CN"/>
            </w:rPr>
            <w:fldChar w:fldCharType="end"/>
          </w:r>
        </w:p>
        <w:p w14:paraId="249343FA">
          <w:pPr>
            <w:pStyle w:val="7"/>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_Toc6867 </w:instrText>
          </w:r>
          <w:r>
            <w:rPr>
              <w:rFonts w:hint="eastAsia"/>
              <w:bCs/>
              <w:szCs w:val="32"/>
              <w:lang w:val="en-US" w:eastAsia="zh-CN"/>
            </w:rPr>
            <w:fldChar w:fldCharType="separate"/>
          </w:r>
          <w:r>
            <w:rPr>
              <w:rFonts w:ascii="宋体" w:hAnsi="宋体" w:cs="宋体"/>
              <w:spacing w:val="1"/>
              <w:highlight w:val="none"/>
            </w:rPr>
            <w:t>第三章</w:t>
          </w:r>
          <w:r>
            <w:rPr>
              <w:rFonts w:ascii="Times New Roman"/>
              <w:spacing w:val="89"/>
              <w:highlight w:val="none"/>
            </w:rPr>
            <w:t xml:space="preserve"> </w:t>
          </w:r>
          <w:r>
            <w:rPr>
              <w:rFonts w:ascii="宋体" w:hAnsi="宋体" w:cs="宋体"/>
              <w:spacing w:val="1"/>
              <w:highlight w:val="none"/>
            </w:rPr>
            <w:t>调整内容与用地范围</w:t>
          </w:r>
          <w:r>
            <w:tab/>
          </w:r>
          <w:r>
            <w:fldChar w:fldCharType="begin"/>
          </w:r>
          <w:r>
            <w:instrText xml:space="preserve"> PAGEREF _Toc6867 \h </w:instrText>
          </w:r>
          <w:r>
            <w:fldChar w:fldCharType="separate"/>
          </w:r>
          <w:r>
            <w:t>- 16 -</w:t>
          </w:r>
          <w:r>
            <w:fldChar w:fldCharType="end"/>
          </w:r>
          <w:r>
            <w:rPr>
              <w:rFonts w:hint="eastAsia"/>
              <w:bCs/>
              <w:szCs w:val="32"/>
              <w:lang w:val="en-US" w:eastAsia="zh-CN"/>
            </w:rPr>
            <w:fldChar w:fldCharType="end"/>
          </w:r>
        </w:p>
        <w:p w14:paraId="1FEC2725">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_Toc478 </w:instrText>
          </w:r>
          <w:r>
            <w:rPr>
              <w:rFonts w:hint="eastAsia"/>
              <w:bCs/>
              <w:szCs w:val="32"/>
              <w:lang w:val="en-US" w:eastAsia="zh-CN"/>
            </w:rPr>
            <w:fldChar w:fldCharType="separate"/>
          </w:r>
          <w:r>
            <w:rPr>
              <w:rFonts w:hint="default"/>
              <w:highlight w:val="none"/>
              <w:lang w:val="en-US" w:eastAsia="zh-CN"/>
            </w:rPr>
            <w:t>3.1 调整内容</w:t>
          </w:r>
          <w:r>
            <w:tab/>
          </w:r>
          <w:r>
            <w:fldChar w:fldCharType="begin"/>
          </w:r>
          <w:r>
            <w:instrText xml:space="preserve"> PAGEREF _Toc478 \h </w:instrText>
          </w:r>
          <w:r>
            <w:fldChar w:fldCharType="separate"/>
          </w:r>
          <w:r>
            <w:t>- 16 -</w:t>
          </w:r>
          <w:r>
            <w:fldChar w:fldCharType="end"/>
          </w:r>
          <w:r>
            <w:rPr>
              <w:rFonts w:hint="eastAsia"/>
              <w:bCs/>
              <w:szCs w:val="32"/>
              <w:lang w:val="en-US" w:eastAsia="zh-CN"/>
            </w:rPr>
            <w:fldChar w:fldCharType="end"/>
          </w:r>
        </w:p>
        <w:p w14:paraId="67D5AA6B">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_Toc5862 </w:instrText>
          </w:r>
          <w:r>
            <w:rPr>
              <w:rFonts w:hint="eastAsia"/>
              <w:bCs/>
              <w:szCs w:val="32"/>
              <w:lang w:val="en-US" w:eastAsia="zh-CN"/>
            </w:rPr>
            <w:fldChar w:fldCharType="separate"/>
          </w:r>
          <w:r>
            <w:rPr>
              <w:rFonts w:hint="default"/>
              <w:highlight w:val="none"/>
              <w:lang w:val="en-US" w:eastAsia="zh-CN"/>
            </w:rPr>
            <w:t>3.2 用地范围</w:t>
          </w:r>
          <w:r>
            <w:tab/>
          </w:r>
          <w:r>
            <w:fldChar w:fldCharType="begin"/>
          </w:r>
          <w:r>
            <w:instrText xml:space="preserve"> PAGEREF _Toc5862 \h </w:instrText>
          </w:r>
          <w:r>
            <w:fldChar w:fldCharType="separate"/>
          </w:r>
          <w:r>
            <w:t>- 16 -</w:t>
          </w:r>
          <w:r>
            <w:fldChar w:fldCharType="end"/>
          </w:r>
          <w:r>
            <w:rPr>
              <w:rFonts w:hint="eastAsia"/>
              <w:bCs/>
              <w:szCs w:val="32"/>
              <w:lang w:val="en-US" w:eastAsia="zh-CN"/>
            </w:rPr>
            <w:fldChar w:fldCharType="end"/>
          </w:r>
        </w:p>
        <w:p w14:paraId="25246BCE">
          <w:pPr>
            <w:pStyle w:val="7"/>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_Toc4486 </w:instrText>
          </w:r>
          <w:r>
            <w:rPr>
              <w:rFonts w:hint="eastAsia"/>
              <w:bCs/>
              <w:szCs w:val="32"/>
              <w:lang w:val="en-US" w:eastAsia="zh-CN"/>
            </w:rPr>
            <w:fldChar w:fldCharType="separate"/>
          </w:r>
          <w:r>
            <w:rPr>
              <w:rFonts w:ascii="宋体" w:hAnsi="宋体" w:cs="宋体"/>
              <w:spacing w:val="1"/>
              <w:highlight w:val="none"/>
            </w:rPr>
            <w:t>第四章</w:t>
          </w:r>
          <w:r>
            <w:rPr>
              <w:rFonts w:ascii="Times New Roman"/>
              <w:spacing w:val="89"/>
              <w:highlight w:val="none"/>
            </w:rPr>
            <w:t xml:space="preserve"> </w:t>
          </w:r>
          <w:r>
            <w:rPr>
              <w:rFonts w:ascii="宋体" w:hAnsi="宋体" w:cs="宋体"/>
              <w:spacing w:val="2"/>
              <w:highlight w:val="none"/>
            </w:rPr>
            <w:t>调整依据及原则</w:t>
          </w:r>
          <w:r>
            <w:tab/>
          </w:r>
          <w:r>
            <w:fldChar w:fldCharType="begin"/>
          </w:r>
          <w:r>
            <w:instrText xml:space="preserve"> PAGEREF _Toc4486 \h </w:instrText>
          </w:r>
          <w:r>
            <w:fldChar w:fldCharType="separate"/>
          </w:r>
          <w:r>
            <w:t>- 17 -</w:t>
          </w:r>
          <w:r>
            <w:fldChar w:fldCharType="end"/>
          </w:r>
          <w:r>
            <w:rPr>
              <w:rFonts w:hint="eastAsia"/>
              <w:bCs/>
              <w:szCs w:val="32"/>
              <w:lang w:val="en-US" w:eastAsia="zh-CN"/>
            </w:rPr>
            <w:fldChar w:fldCharType="end"/>
          </w:r>
        </w:p>
        <w:p w14:paraId="6E26F07D">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_Toc27631 </w:instrText>
          </w:r>
          <w:r>
            <w:rPr>
              <w:rFonts w:hint="eastAsia"/>
              <w:bCs/>
              <w:szCs w:val="32"/>
              <w:lang w:val="en-US" w:eastAsia="zh-CN"/>
            </w:rPr>
            <w:fldChar w:fldCharType="separate"/>
          </w:r>
          <w:r>
            <w:rPr>
              <w:rFonts w:hint="default"/>
              <w:highlight w:val="none"/>
              <w:lang w:val="en-US" w:eastAsia="zh-CN"/>
            </w:rPr>
            <w:t>4.1 调整依据</w:t>
          </w:r>
          <w:r>
            <w:tab/>
          </w:r>
          <w:r>
            <w:fldChar w:fldCharType="begin"/>
          </w:r>
          <w:r>
            <w:instrText xml:space="preserve"> PAGEREF _Toc27631 \h </w:instrText>
          </w:r>
          <w:r>
            <w:fldChar w:fldCharType="separate"/>
          </w:r>
          <w:r>
            <w:t>- 17 -</w:t>
          </w:r>
          <w:r>
            <w:fldChar w:fldCharType="end"/>
          </w:r>
          <w:r>
            <w:rPr>
              <w:rFonts w:hint="eastAsia"/>
              <w:bCs/>
              <w:szCs w:val="32"/>
              <w:lang w:val="en-US" w:eastAsia="zh-CN"/>
            </w:rPr>
            <w:fldChar w:fldCharType="end"/>
          </w:r>
        </w:p>
        <w:p w14:paraId="6A21B7B8">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_Toc22406 </w:instrText>
          </w:r>
          <w:r>
            <w:rPr>
              <w:rFonts w:hint="eastAsia"/>
              <w:bCs/>
              <w:szCs w:val="32"/>
              <w:lang w:val="en-US" w:eastAsia="zh-CN"/>
            </w:rPr>
            <w:fldChar w:fldCharType="separate"/>
          </w:r>
          <w:r>
            <w:rPr>
              <w:rFonts w:hint="default"/>
              <w:highlight w:val="none"/>
              <w:lang w:val="en-US" w:eastAsia="zh-CN"/>
            </w:rPr>
            <w:t>4.2 调整原则</w:t>
          </w:r>
          <w:r>
            <w:tab/>
          </w:r>
          <w:r>
            <w:fldChar w:fldCharType="begin"/>
          </w:r>
          <w:r>
            <w:instrText xml:space="preserve"> PAGEREF _Toc22406 \h </w:instrText>
          </w:r>
          <w:r>
            <w:fldChar w:fldCharType="separate"/>
          </w:r>
          <w:r>
            <w:t>- 17 -</w:t>
          </w:r>
          <w:r>
            <w:fldChar w:fldCharType="end"/>
          </w:r>
          <w:r>
            <w:rPr>
              <w:rFonts w:hint="eastAsia"/>
              <w:bCs/>
              <w:szCs w:val="32"/>
              <w:lang w:val="en-US" w:eastAsia="zh-CN"/>
            </w:rPr>
            <w:fldChar w:fldCharType="end"/>
          </w:r>
        </w:p>
        <w:p w14:paraId="45C58949">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_Toc22335 </w:instrText>
          </w:r>
          <w:r>
            <w:rPr>
              <w:rFonts w:hint="eastAsia"/>
              <w:bCs/>
              <w:szCs w:val="32"/>
              <w:lang w:val="en-US" w:eastAsia="zh-CN"/>
            </w:rPr>
            <w:fldChar w:fldCharType="separate"/>
          </w:r>
          <w:r>
            <w:rPr>
              <w:rFonts w:hint="default"/>
              <w:highlight w:val="none"/>
              <w:lang w:val="en-US" w:eastAsia="zh-CN"/>
            </w:rPr>
            <w:t>4.3 调整程序</w:t>
          </w:r>
          <w:r>
            <w:tab/>
          </w:r>
          <w:r>
            <w:fldChar w:fldCharType="begin"/>
          </w:r>
          <w:r>
            <w:instrText xml:space="preserve"> PAGEREF _Toc22335 \h </w:instrText>
          </w:r>
          <w:r>
            <w:fldChar w:fldCharType="separate"/>
          </w:r>
          <w:r>
            <w:t>- 18 -</w:t>
          </w:r>
          <w:r>
            <w:fldChar w:fldCharType="end"/>
          </w:r>
          <w:r>
            <w:rPr>
              <w:rFonts w:hint="eastAsia"/>
              <w:bCs/>
              <w:szCs w:val="32"/>
              <w:lang w:val="en-US" w:eastAsia="zh-CN"/>
            </w:rPr>
            <w:fldChar w:fldCharType="end"/>
          </w:r>
        </w:p>
        <w:p w14:paraId="5009337B">
          <w:pPr>
            <w:pStyle w:val="7"/>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_Toc14276 </w:instrText>
          </w:r>
          <w:r>
            <w:rPr>
              <w:rFonts w:hint="eastAsia"/>
              <w:bCs/>
              <w:szCs w:val="32"/>
              <w:lang w:val="en-US" w:eastAsia="zh-CN"/>
            </w:rPr>
            <w:fldChar w:fldCharType="separate"/>
          </w:r>
          <w:r>
            <w:rPr>
              <w:rFonts w:hint="eastAsia"/>
              <w:lang w:val="en-US" w:eastAsia="zh-CN"/>
            </w:rPr>
            <w:t xml:space="preserve">第五章 </w:t>
          </w:r>
          <w:r>
            <w:rPr>
              <w:rFonts w:hint="default"/>
              <w:highlight w:val="none"/>
              <w:lang w:val="en-US" w:eastAsia="zh-CN"/>
            </w:rPr>
            <w:t>调整的必要性</w:t>
          </w:r>
          <w:r>
            <w:tab/>
          </w:r>
          <w:r>
            <w:fldChar w:fldCharType="begin"/>
          </w:r>
          <w:r>
            <w:instrText xml:space="preserve"> PAGEREF _Toc14276 \h </w:instrText>
          </w:r>
          <w:r>
            <w:fldChar w:fldCharType="separate"/>
          </w:r>
          <w:r>
            <w:t>- 19 -</w:t>
          </w:r>
          <w:r>
            <w:fldChar w:fldCharType="end"/>
          </w:r>
          <w:r>
            <w:rPr>
              <w:rFonts w:hint="eastAsia"/>
              <w:bCs/>
              <w:szCs w:val="32"/>
              <w:lang w:val="en-US" w:eastAsia="zh-CN"/>
            </w:rPr>
            <w:fldChar w:fldCharType="end"/>
          </w:r>
        </w:p>
        <w:p w14:paraId="4A9152DE">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_Toc16790 </w:instrText>
          </w:r>
          <w:r>
            <w:rPr>
              <w:rFonts w:hint="eastAsia"/>
              <w:bCs/>
              <w:szCs w:val="32"/>
              <w:lang w:val="en-US" w:eastAsia="zh-CN"/>
            </w:rPr>
            <w:fldChar w:fldCharType="separate"/>
          </w:r>
          <w:r>
            <w:rPr>
              <w:rFonts w:hint="default"/>
              <w:highlight w:val="none"/>
              <w:lang w:val="en-US" w:eastAsia="zh-CN"/>
            </w:rPr>
            <w:t xml:space="preserve">5.1 </w:t>
          </w:r>
          <w:r>
            <w:rPr>
              <w:rFonts w:hint="eastAsia"/>
              <w:highlight w:val="none"/>
              <w:lang w:val="en-US" w:eastAsia="zh-CN"/>
            </w:rPr>
            <w:t>提高规划的科学性</w:t>
          </w:r>
          <w:r>
            <w:tab/>
          </w:r>
          <w:r>
            <w:fldChar w:fldCharType="begin"/>
          </w:r>
          <w:r>
            <w:instrText xml:space="preserve"> PAGEREF _Toc16790 \h </w:instrText>
          </w:r>
          <w:r>
            <w:fldChar w:fldCharType="separate"/>
          </w:r>
          <w:r>
            <w:t>- 19 -</w:t>
          </w:r>
          <w:r>
            <w:fldChar w:fldCharType="end"/>
          </w:r>
          <w:r>
            <w:rPr>
              <w:rFonts w:hint="eastAsia"/>
              <w:bCs/>
              <w:szCs w:val="32"/>
              <w:lang w:val="en-US" w:eastAsia="zh-CN"/>
            </w:rPr>
            <w:fldChar w:fldCharType="end"/>
          </w:r>
        </w:p>
        <w:p w14:paraId="41744C6C">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_Toc686 </w:instrText>
          </w:r>
          <w:r>
            <w:rPr>
              <w:rFonts w:hint="eastAsia"/>
              <w:bCs/>
              <w:szCs w:val="32"/>
              <w:lang w:val="en-US" w:eastAsia="zh-CN"/>
            </w:rPr>
            <w:fldChar w:fldCharType="separate"/>
          </w:r>
          <w:r>
            <w:rPr>
              <w:rFonts w:hint="default"/>
              <w:highlight w:val="none"/>
              <w:lang w:val="en-US" w:eastAsia="zh-CN"/>
            </w:rPr>
            <w:t xml:space="preserve">5.2 </w:t>
          </w:r>
          <w:r>
            <w:rPr>
              <w:rFonts w:hint="eastAsia"/>
              <w:highlight w:val="none"/>
              <w:lang w:val="en-US" w:eastAsia="zh-CN"/>
            </w:rPr>
            <w:t>优化土地资源</w:t>
          </w:r>
          <w:r>
            <w:tab/>
          </w:r>
          <w:r>
            <w:fldChar w:fldCharType="begin"/>
          </w:r>
          <w:r>
            <w:instrText xml:space="preserve"> PAGEREF _Toc686 \h </w:instrText>
          </w:r>
          <w:r>
            <w:fldChar w:fldCharType="separate"/>
          </w:r>
          <w:r>
            <w:t>- 19 -</w:t>
          </w:r>
          <w:r>
            <w:fldChar w:fldCharType="end"/>
          </w:r>
          <w:r>
            <w:rPr>
              <w:rFonts w:hint="eastAsia"/>
              <w:bCs/>
              <w:szCs w:val="32"/>
              <w:lang w:val="en-US" w:eastAsia="zh-CN"/>
            </w:rPr>
            <w:fldChar w:fldCharType="end"/>
          </w:r>
        </w:p>
        <w:p w14:paraId="1400BC39">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_Toc16812 </w:instrText>
          </w:r>
          <w:r>
            <w:rPr>
              <w:rFonts w:hint="eastAsia"/>
              <w:bCs/>
              <w:szCs w:val="32"/>
              <w:lang w:val="en-US" w:eastAsia="zh-CN"/>
            </w:rPr>
            <w:fldChar w:fldCharType="separate"/>
          </w:r>
          <w:r>
            <w:rPr>
              <w:rFonts w:hint="default"/>
              <w:highlight w:val="none"/>
              <w:lang w:val="en-US" w:eastAsia="zh-CN"/>
            </w:rPr>
            <w:t xml:space="preserve">5.3 </w:t>
          </w:r>
          <w:r>
            <w:rPr>
              <w:rFonts w:hint="eastAsia"/>
              <w:highlight w:val="none"/>
              <w:lang w:val="en-US" w:eastAsia="zh-CN"/>
            </w:rPr>
            <w:t>优化用地布局</w:t>
          </w:r>
          <w:r>
            <w:tab/>
          </w:r>
          <w:r>
            <w:fldChar w:fldCharType="begin"/>
          </w:r>
          <w:r>
            <w:instrText xml:space="preserve"> PAGEREF _Toc16812 \h </w:instrText>
          </w:r>
          <w:r>
            <w:fldChar w:fldCharType="separate"/>
          </w:r>
          <w:r>
            <w:t>- 20 -</w:t>
          </w:r>
          <w:r>
            <w:fldChar w:fldCharType="end"/>
          </w:r>
          <w:r>
            <w:rPr>
              <w:rFonts w:hint="eastAsia"/>
              <w:bCs/>
              <w:szCs w:val="32"/>
              <w:lang w:val="en-US" w:eastAsia="zh-CN"/>
            </w:rPr>
            <w:fldChar w:fldCharType="end"/>
          </w:r>
        </w:p>
        <w:p w14:paraId="5A76BCA9">
          <w:pPr>
            <w:pStyle w:val="7"/>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_Toc25622 </w:instrText>
          </w:r>
          <w:r>
            <w:rPr>
              <w:rFonts w:hint="eastAsia"/>
              <w:bCs/>
              <w:szCs w:val="32"/>
              <w:lang w:val="en-US" w:eastAsia="zh-CN"/>
            </w:rPr>
            <w:fldChar w:fldCharType="separate"/>
          </w:r>
          <w:r>
            <w:rPr>
              <w:rFonts w:hint="eastAsia"/>
              <w:lang w:val="en-US" w:eastAsia="zh-CN"/>
            </w:rPr>
            <w:t xml:space="preserve">第六章 </w:t>
          </w:r>
          <w:r>
            <w:rPr>
              <w:rFonts w:hint="default"/>
              <w:highlight w:val="none"/>
              <w:lang w:val="en-US" w:eastAsia="zh-CN"/>
            </w:rPr>
            <w:t>调整的可行性</w:t>
          </w:r>
          <w:r>
            <w:tab/>
          </w:r>
          <w:r>
            <w:fldChar w:fldCharType="begin"/>
          </w:r>
          <w:r>
            <w:instrText xml:space="preserve"> PAGEREF _Toc25622 \h </w:instrText>
          </w:r>
          <w:r>
            <w:fldChar w:fldCharType="separate"/>
          </w:r>
          <w:r>
            <w:t>- 20 -</w:t>
          </w:r>
          <w:r>
            <w:fldChar w:fldCharType="end"/>
          </w:r>
          <w:r>
            <w:rPr>
              <w:rFonts w:hint="eastAsia"/>
              <w:bCs/>
              <w:szCs w:val="32"/>
              <w:lang w:val="en-US" w:eastAsia="zh-CN"/>
            </w:rPr>
            <w:fldChar w:fldCharType="end"/>
          </w:r>
        </w:p>
        <w:p w14:paraId="0DBF4EDD">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_Toc27672 </w:instrText>
          </w:r>
          <w:r>
            <w:rPr>
              <w:rFonts w:hint="eastAsia"/>
              <w:bCs/>
              <w:szCs w:val="32"/>
              <w:lang w:val="en-US" w:eastAsia="zh-CN"/>
            </w:rPr>
            <w:fldChar w:fldCharType="separate"/>
          </w:r>
          <w:r>
            <w:rPr>
              <w:rFonts w:hint="default"/>
              <w:highlight w:val="none"/>
              <w:lang w:val="en-US" w:eastAsia="zh-CN"/>
            </w:rPr>
            <w:t>6.</w:t>
          </w:r>
          <w:r>
            <w:rPr>
              <w:rFonts w:hint="eastAsia"/>
              <w:highlight w:val="none"/>
              <w:lang w:val="en-US" w:eastAsia="zh-CN"/>
            </w:rPr>
            <w:t>1</w:t>
          </w:r>
          <w:r>
            <w:rPr>
              <w:rFonts w:hint="default"/>
              <w:highlight w:val="none"/>
              <w:lang w:val="en-US" w:eastAsia="zh-CN"/>
            </w:rPr>
            <w:t xml:space="preserve"> 城市交通影响评价</w:t>
          </w:r>
          <w:r>
            <w:tab/>
          </w:r>
          <w:r>
            <w:fldChar w:fldCharType="begin"/>
          </w:r>
          <w:r>
            <w:instrText xml:space="preserve"> PAGEREF _Toc27672 \h </w:instrText>
          </w:r>
          <w:r>
            <w:fldChar w:fldCharType="separate"/>
          </w:r>
          <w:r>
            <w:t>- 20 -</w:t>
          </w:r>
          <w:r>
            <w:fldChar w:fldCharType="end"/>
          </w:r>
          <w:r>
            <w:rPr>
              <w:rFonts w:hint="eastAsia"/>
              <w:bCs/>
              <w:szCs w:val="32"/>
              <w:lang w:val="en-US" w:eastAsia="zh-CN"/>
            </w:rPr>
            <w:fldChar w:fldCharType="end"/>
          </w:r>
        </w:p>
        <w:p w14:paraId="103F49BB">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_Toc7676 </w:instrText>
          </w:r>
          <w:r>
            <w:rPr>
              <w:rFonts w:hint="eastAsia"/>
              <w:bCs/>
              <w:szCs w:val="32"/>
              <w:lang w:val="en-US" w:eastAsia="zh-CN"/>
            </w:rPr>
            <w:fldChar w:fldCharType="separate"/>
          </w:r>
          <w:r>
            <w:rPr>
              <w:rFonts w:hint="default"/>
              <w:highlight w:val="none"/>
              <w:lang w:val="en-US" w:eastAsia="zh-CN"/>
            </w:rPr>
            <w:t>6.</w:t>
          </w:r>
          <w:r>
            <w:rPr>
              <w:rFonts w:hint="eastAsia"/>
              <w:highlight w:val="none"/>
              <w:lang w:val="en-US" w:eastAsia="zh-CN"/>
            </w:rPr>
            <w:t>2</w:t>
          </w:r>
          <w:r>
            <w:rPr>
              <w:rFonts w:hint="default"/>
              <w:highlight w:val="none"/>
              <w:lang w:val="en-US" w:eastAsia="zh-CN"/>
            </w:rPr>
            <w:t xml:space="preserve"> </w:t>
          </w:r>
          <w:r>
            <w:rPr>
              <w:rFonts w:hint="eastAsia"/>
              <w:highlight w:val="none"/>
              <w:lang w:val="en-US" w:eastAsia="zh-CN"/>
            </w:rPr>
            <w:t>建设条件可行性</w:t>
          </w:r>
          <w:r>
            <w:rPr>
              <w:rFonts w:hint="default"/>
              <w:highlight w:val="none"/>
              <w:lang w:val="en-US" w:eastAsia="zh-CN"/>
            </w:rPr>
            <w:t>评价</w:t>
          </w:r>
          <w:r>
            <w:tab/>
          </w:r>
          <w:r>
            <w:fldChar w:fldCharType="begin"/>
          </w:r>
          <w:r>
            <w:instrText xml:space="preserve"> PAGEREF _Toc7676 \h </w:instrText>
          </w:r>
          <w:r>
            <w:fldChar w:fldCharType="separate"/>
          </w:r>
          <w:r>
            <w:t>- 21 -</w:t>
          </w:r>
          <w:r>
            <w:fldChar w:fldCharType="end"/>
          </w:r>
          <w:r>
            <w:rPr>
              <w:rFonts w:hint="eastAsia"/>
              <w:bCs/>
              <w:szCs w:val="32"/>
              <w:lang w:val="en-US" w:eastAsia="zh-CN"/>
            </w:rPr>
            <w:fldChar w:fldCharType="end"/>
          </w:r>
        </w:p>
        <w:p w14:paraId="3582F8DC">
          <w:pPr>
            <w:pStyle w:val="8"/>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_Toc9093 </w:instrText>
          </w:r>
          <w:r>
            <w:rPr>
              <w:rFonts w:hint="eastAsia"/>
              <w:bCs/>
              <w:szCs w:val="32"/>
              <w:lang w:val="en-US" w:eastAsia="zh-CN"/>
            </w:rPr>
            <w:fldChar w:fldCharType="separate"/>
          </w:r>
          <w:r>
            <w:rPr>
              <w:rFonts w:hint="default"/>
              <w:highlight w:val="none"/>
              <w:lang w:val="en-US" w:eastAsia="zh-CN"/>
            </w:rPr>
            <w:t>6.</w:t>
          </w:r>
          <w:r>
            <w:rPr>
              <w:rFonts w:hint="eastAsia"/>
              <w:highlight w:val="none"/>
              <w:lang w:val="en-US" w:eastAsia="zh-CN"/>
            </w:rPr>
            <w:t>3</w:t>
          </w:r>
          <w:r>
            <w:rPr>
              <w:rFonts w:hint="default"/>
              <w:highlight w:val="none"/>
              <w:lang w:val="en-US" w:eastAsia="zh-CN"/>
            </w:rPr>
            <w:t xml:space="preserve"> 市政基础设施承载能力评价</w:t>
          </w:r>
          <w:r>
            <w:tab/>
          </w:r>
          <w:r>
            <w:fldChar w:fldCharType="begin"/>
          </w:r>
          <w:r>
            <w:instrText xml:space="preserve"> PAGEREF _Toc9093 \h </w:instrText>
          </w:r>
          <w:r>
            <w:fldChar w:fldCharType="separate"/>
          </w:r>
          <w:r>
            <w:t>- 21 -</w:t>
          </w:r>
          <w:r>
            <w:fldChar w:fldCharType="end"/>
          </w:r>
          <w:r>
            <w:rPr>
              <w:rFonts w:hint="eastAsia"/>
              <w:bCs/>
              <w:szCs w:val="32"/>
              <w:lang w:val="en-US" w:eastAsia="zh-CN"/>
            </w:rPr>
            <w:fldChar w:fldCharType="end"/>
          </w:r>
        </w:p>
        <w:p w14:paraId="4EF751A7">
          <w:pPr>
            <w:pStyle w:val="7"/>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_Toc5757 </w:instrText>
          </w:r>
          <w:r>
            <w:rPr>
              <w:rFonts w:hint="eastAsia"/>
              <w:bCs/>
              <w:szCs w:val="32"/>
              <w:lang w:val="en-US" w:eastAsia="zh-CN"/>
            </w:rPr>
            <w:fldChar w:fldCharType="separate"/>
          </w:r>
          <w:r>
            <w:rPr>
              <w:rFonts w:hint="eastAsia"/>
              <w:lang w:val="en-US" w:eastAsia="zh-CN"/>
            </w:rPr>
            <w:t xml:space="preserve">第七章 </w:t>
          </w:r>
          <w:r>
            <w:rPr>
              <w:rFonts w:hint="eastAsia"/>
              <w:highlight w:val="none"/>
              <w:lang w:val="en-US" w:eastAsia="zh-CN"/>
            </w:rPr>
            <w:t>结论</w:t>
          </w:r>
          <w:r>
            <w:tab/>
          </w:r>
          <w:r>
            <w:fldChar w:fldCharType="begin"/>
          </w:r>
          <w:r>
            <w:instrText xml:space="preserve"> PAGEREF _Toc5757 \h </w:instrText>
          </w:r>
          <w:r>
            <w:fldChar w:fldCharType="separate"/>
          </w:r>
          <w:r>
            <w:t>- 22 -</w:t>
          </w:r>
          <w:r>
            <w:fldChar w:fldCharType="end"/>
          </w:r>
          <w:r>
            <w:rPr>
              <w:rFonts w:hint="eastAsia"/>
              <w:bCs/>
              <w:szCs w:val="32"/>
              <w:lang w:val="en-US" w:eastAsia="zh-CN"/>
            </w:rPr>
            <w:fldChar w:fldCharType="end"/>
          </w:r>
        </w:p>
        <w:p w14:paraId="45914EDE">
          <w:pPr>
            <w:keepNext w:val="0"/>
            <w:keepLines w:val="0"/>
            <w:pageBreakBefore w:val="0"/>
            <w:widowControl/>
            <w:kinsoku/>
            <w:wordWrap/>
            <w:overflowPunct/>
            <w:topLinePunct w:val="0"/>
            <w:autoSpaceDE/>
            <w:autoSpaceDN/>
            <w:bidi w:val="0"/>
            <w:adjustRightInd/>
            <w:snapToGrid w:val="0"/>
            <w:spacing w:line="312" w:lineRule="auto"/>
            <w:ind w:firstLine="0" w:firstLineChars="0"/>
            <w:jc w:val="center"/>
            <w:textAlignment w:val="auto"/>
            <w:rPr>
              <w:rFonts w:hint="eastAsia" w:ascii="Calibri" w:hAnsi="Calibri" w:eastAsia="宋体" w:cs="Times New Roman"/>
              <w:bCs/>
              <w:sz w:val="28"/>
              <w:szCs w:val="32"/>
              <w:lang w:val="en-US" w:eastAsia="zh-CN" w:bidi="ar-SA"/>
            </w:rPr>
          </w:pPr>
          <w:r>
            <w:rPr>
              <w:rFonts w:hint="eastAsia"/>
              <w:bCs/>
              <w:szCs w:val="32"/>
              <w:lang w:val="en-US" w:eastAsia="zh-CN"/>
            </w:rPr>
            <w:fldChar w:fldCharType="end"/>
          </w:r>
        </w:p>
      </w:sdtContent>
    </w:sdt>
    <w:p w14:paraId="4E12E4A2">
      <w:pPr>
        <w:bidi w:val="0"/>
        <w:jc w:val="center"/>
        <w:rPr>
          <w:rFonts w:hint="eastAsia" w:ascii="Calibri" w:hAnsi="Calibri" w:eastAsia="宋体" w:cs="Times New Roman"/>
          <w:bCs/>
          <w:sz w:val="28"/>
          <w:szCs w:val="32"/>
          <w:lang w:val="en-US" w:eastAsia="zh-CN" w:bidi="ar-SA"/>
        </w:rPr>
        <w:sectPr>
          <w:footerReference r:id="rId5" w:type="default"/>
          <w:pgSz w:w="11906" w:h="16838"/>
          <w:pgMar w:top="1440" w:right="1800" w:bottom="1440" w:left="1800" w:header="851" w:footer="992" w:gutter="0"/>
          <w:pgNumType w:fmt="numberInDash" w:start="1"/>
          <w:cols w:space="425" w:num="1"/>
          <w:docGrid w:type="lines" w:linePitch="312" w:charSpace="0"/>
        </w:sectPr>
      </w:pPr>
    </w:p>
    <w:p w14:paraId="2B43CE40">
      <w:pPr>
        <w:pStyle w:val="2"/>
        <w:bidi w:val="0"/>
        <w:ind w:left="0" w:leftChars="0" w:firstLine="0" w:firstLineChars="0"/>
        <w:jc w:val="left"/>
        <w:rPr>
          <w:rFonts w:hint="eastAsia"/>
          <w:lang w:val="en-US" w:eastAsia="zh-CN"/>
        </w:rPr>
      </w:pPr>
      <w:bookmarkStart w:id="0" w:name="_Toc1348"/>
      <w:r>
        <w:rPr>
          <w:rFonts w:hint="eastAsia"/>
          <w:lang w:val="en-US" w:eastAsia="zh-CN"/>
        </w:rPr>
        <w:t>第一章项目解读</w:t>
      </w:r>
      <w:bookmarkEnd w:id="0"/>
    </w:p>
    <w:p w14:paraId="6475075F">
      <w:pPr>
        <w:pStyle w:val="3"/>
        <w:numPr>
          <w:ilvl w:val="1"/>
          <w:numId w:val="0"/>
        </w:numPr>
        <w:bidi w:val="0"/>
        <w:ind w:left="0" w:leftChars="0" w:firstLine="0" w:firstLineChars="0"/>
        <w:rPr>
          <w:rFonts w:hint="eastAsia"/>
          <w:lang w:val="en-US" w:eastAsia="zh-CN"/>
        </w:rPr>
      </w:pPr>
      <w:bookmarkStart w:id="1" w:name="_Toc23751"/>
      <w:r>
        <w:rPr>
          <w:rFonts w:hint="default" w:ascii="Arial" w:hAnsi="Arial" w:eastAsia="黑体" w:cs="Times New Roman"/>
          <w:b/>
          <w:sz w:val="32"/>
          <w:szCs w:val="22"/>
          <w:lang w:val="en-US" w:eastAsia="zh-CN" w:bidi="ar-SA"/>
        </w:rPr>
        <w:t>1.1</w:t>
      </w:r>
      <w:r>
        <w:rPr>
          <w:rFonts w:hint="eastAsia"/>
          <w:lang w:val="en-US" w:eastAsia="zh-CN"/>
        </w:rPr>
        <w:t>项目背景</w:t>
      </w:r>
      <w:bookmarkEnd w:id="1"/>
    </w:p>
    <w:p w14:paraId="06871B5D">
      <w:pPr>
        <w:keepNext w:val="0"/>
        <w:keepLines w:val="0"/>
        <w:pageBreakBefore w:val="0"/>
        <w:widowControl/>
        <w:kinsoku/>
        <w:wordWrap/>
        <w:overflowPunct/>
        <w:topLinePunct w:val="0"/>
        <w:autoSpaceDE/>
        <w:autoSpaceDN/>
        <w:bidi w:val="0"/>
        <w:adjustRightInd/>
        <w:snapToGrid/>
        <w:textAlignment w:val="auto"/>
        <w:rPr>
          <w:rFonts w:hint="default"/>
          <w:highlight w:val="none"/>
          <w:lang w:val="en-US" w:eastAsia="zh-CN"/>
        </w:rPr>
      </w:pPr>
      <w:r>
        <w:rPr>
          <w:rFonts w:hint="default"/>
          <w:highlight w:val="none"/>
          <w:lang w:val="en-US" w:eastAsia="zh-CN"/>
        </w:rPr>
        <w:t>尉氏</w:t>
      </w:r>
      <w:r>
        <w:rPr>
          <w:rFonts w:hint="eastAsia"/>
          <w:highlight w:val="none"/>
          <w:lang w:val="en-US" w:eastAsia="zh-CN"/>
        </w:rPr>
        <w:t>县</w:t>
      </w:r>
      <w:r>
        <w:rPr>
          <w:rFonts w:hint="default"/>
          <w:highlight w:val="none"/>
          <w:lang w:val="en-US" w:eastAsia="zh-CN"/>
        </w:rPr>
        <w:t>位于豫东平原，属河南省开封市。东邻通许、扶沟县，南与鄢陵、长葛县接壤，西与新郑县交界，北与开封县、尉氏县相连。尉氏古称“尉州”，是河南省经济管理扩权县，拥有省政府批准的全省八大特色基地之一的河南省中原纺织工业基地，省认定的尉氏高效农业示范园区。</w:t>
      </w:r>
    </w:p>
    <w:p w14:paraId="5937F5EB">
      <w:pPr>
        <w:keepNext w:val="0"/>
        <w:keepLines w:val="0"/>
        <w:pageBreakBefore w:val="0"/>
        <w:widowControl/>
        <w:kinsoku/>
        <w:wordWrap/>
        <w:overflowPunct/>
        <w:topLinePunct w:val="0"/>
        <w:autoSpaceDE/>
        <w:autoSpaceDN/>
        <w:bidi w:val="0"/>
        <w:adjustRightInd/>
        <w:snapToGrid/>
        <w:textAlignment w:val="auto"/>
        <w:rPr>
          <w:rFonts w:hint="eastAsia"/>
          <w:highlight w:val="none"/>
          <w:lang w:val="en-US" w:eastAsia="zh-CN"/>
        </w:rPr>
      </w:pPr>
      <w:r>
        <w:rPr>
          <w:rFonts w:hint="default"/>
          <w:highlight w:val="none"/>
          <w:lang w:val="en-US" w:eastAsia="zh-CN"/>
        </w:rPr>
        <w:t>尉氏县历史悠久、人文荟萃，于秦始皇三年（公元前 219 年）置县，境内文物古迹众多，北宋太平兴国寺塔、清末刘青霞故居被命名为国家级文物保护单位；区位优越、交通便利，境内四条省道交织成网，日南高速和商登高速、机西高速纵横交错，西部 65 平方公里纳入了郑州航空港经济综合实验区，初步形成了与航空港区和郑汴新区对接融合、联动发展的良好态势</w:t>
      </w:r>
      <w:r>
        <w:rPr>
          <w:rFonts w:hint="eastAsia"/>
          <w:highlight w:val="none"/>
          <w:lang w:val="en-US" w:eastAsia="zh-CN"/>
        </w:rPr>
        <w:t>。</w:t>
      </w:r>
    </w:p>
    <w:p w14:paraId="7AE9BF88">
      <w:pPr>
        <w:keepNext w:val="0"/>
        <w:keepLines w:val="0"/>
        <w:pageBreakBefore w:val="0"/>
        <w:widowControl/>
        <w:kinsoku/>
        <w:wordWrap/>
        <w:overflowPunct/>
        <w:topLinePunct w:val="0"/>
        <w:autoSpaceDE/>
        <w:autoSpaceDN/>
        <w:bidi w:val="0"/>
        <w:adjustRightInd/>
        <w:snapToGrid/>
        <w:textAlignment w:val="auto"/>
        <w:rPr>
          <w:rFonts w:hint="default"/>
          <w:highlight w:val="none"/>
          <w:lang w:val="en-US" w:eastAsia="zh-CN"/>
        </w:rPr>
      </w:pPr>
      <w:r>
        <w:rPr>
          <w:rFonts w:hint="default"/>
          <w:highlight w:val="none"/>
          <w:lang w:val="en-US" w:eastAsia="zh-CN"/>
        </w:rPr>
        <w:t>近年来面对复杂的外部环境和繁重的发展任务，尉氏县政府紧紧围绕“西融北接”的发展思路，积极抢抓中原经济区与郑汴一体化发展、郑州航空港经济综合实验区建设重大机遇，全力以赴稳增长、促改革、调结构、惠民生、防风险，较好地完成了各项工作任务，进入了全面建成小康社会的新阶段。</w:t>
      </w:r>
    </w:p>
    <w:p w14:paraId="3AB9E3E2">
      <w:pPr>
        <w:bidi w:val="0"/>
        <w:rPr>
          <w:rFonts w:hint="default"/>
          <w:lang w:val="en-US" w:eastAsia="zh-CN"/>
        </w:rPr>
      </w:pPr>
      <w:r>
        <w:rPr>
          <w:rFonts w:hint="default"/>
          <w:lang w:val="en-US" w:eastAsia="zh-CN"/>
        </w:rPr>
        <w:t>经济运行稳中向好。全年生产总值492.3亿元、增长6.0%，总量和增速分别位于全市第1位和第2位，全省排名由2023年的第16位上升至第15位；一般公共预算收入18.4亿元，税收12.2亿元，规上工业增加值增长10.7%，固定资产投资增长8.8%，社会消费品零售总额增长6.5%，城镇和农村居民人均可支配收入达到35837.3元、22355.7元，分别增长3.7%和6.8%。209个市重点项目圆满完成年度计划投资，9个省重点项目完成年度计划的150.9%。滚动开展“三个一批”活动4期，签约项目22个，总投资227.5亿元。在全市重点项目考核中，取得两次第一、三次第二的优异成绩。加力推进消费品以旧换新，申领汽车、家电、电动自行车以旧换新和家装厨卫“焕新”补贴1.5万单，申领补贴3652.6万元，带动消费近2亿元。</w:t>
      </w:r>
    </w:p>
    <w:p w14:paraId="45C49B86">
      <w:pPr>
        <w:bidi w:val="0"/>
        <w:rPr>
          <w:rFonts w:hint="default"/>
          <w:lang w:val="en-US" w:eastAsia="zh-CN"/>
        </w:rPr>
      </w:pPr>
      <w:r>
        <w:rPr>
          <w:rFonts w:hint="default"/>
          <w:lang w:val="en-US" w:eastAsia="zh-CN"/>
        </w:rPr>
        <w:t>产业转型步伐加快。</w:t>
      </w:r>
      <w:r>
        <w:rPr>
          <w:rFonts w:hint="eastAsia"/>
        </w:rPr>
        <w:t>深入实施工业强县“十项行动”，积极打造“2+1”主导产业链群，工业投资增长50.1%，高于全市18.3个百分点，新增规上工业企业29家，居全市第1位。实施规上工业企业技术改造全覆盖行动，推动纺织、橡胶等传统产业向高端化、智能化、绿色化发展，传统产业规上工业总产值224.9亿元。优德医疗荣获省级工业设计大赛优秀奖，久龙橡塑是全市唯一一家入选省级绿色供应链管理的企业，金星装配成功创建省级服务型制造示范企业；新增省级专精特新企业5家、省级绿色工厂4家、头雁企业1家、智能车间2家；大红门、立邦涂料、久龙橡塑等7家企业入选省绿色制造业产业链重点培育名单。高标准建成汽车零部件产业园6个，已落地投产企业48家，完成产值32亿元。培育大健康产业上下游企业20余家，完成产值3亿元，初步形成集生物医药、医疗器械、健康养老于一体的产业集群。服务业市场主体1.5万户，完成增加值211亿元、增长4.7%。累计创建省级电商示范企业2家、市级12家，跨境电商交易额7.8亿元、网络零售额18.6亿元、电子商务交易额27.4亿元。</w:t>
      </w:r>
    </w:p>
    <w:p w14:paraId="2819E5C4">
      <w:pPr>
        <w:bidi w:val="0"/>
        <w:rPr>
          <w:rFonts w:hint="default"/>
          <w:lang w:val="en-US" w:eastAsia="zh-CN"/>
        </w:rPr>
      </w:pPr>
      <w:r>
        <w:rPr>
          <w:rFonts w:hint="default"/>
          <w:lang w:val="en-US" w:eastAsia="zh-CN"/>
        </w:rPr>
        <w:t>发展活力逐步增强。打造“134+N”招商架构，通过驻地招商、专题招商、产业链招商等模式，开展各类招商活动387次，成功签约上海俱泰、长沙新睿等82个项目，总投资165.8亿元。其中，汽车零部件项目35个，总投资52.9亿元；大健康项目9个，总投资10.2亿元；纺织服装项目4个，总投资5.3亿元。引进省外资金94.3亿元，进出口完成7.8亿元，境外资金到位493万美元，完成市下任务的140.5%。鼓励引导企业加大科技创新力度，县财政科学技术支出达4.3亿元，对科技企业信贷支持2.9亿元，技术合同成交额6.9亿元，增长32.7%。累计培育国家级高新技术企业47家、省级科技创新平台32家、市级科技创新平台46家，国家科技型中小企业备案入库106家。先进制造业开发区成功入选“河南省高新技术产业开发区培育创建名单”。聚焦营商环境重点领域、薄弱环节，持续深化14个重点领域66项改革，办理“一件事一次办”事项2253件。梳理政务服务事项2648项，受理网上办件18.1万件，办结率99.6%，网上可办率、不见面审批率、“一网通办”率均达100%。深入实施服务企业“110”制度，走访行政执法赋码企业390家，开展访企问需活动43次，收集办理企业诉求91件。</w:t>
      </w:r>
    </w:p>
    <w:p w14:paraId="321C1CA1">
      <w:pPr>
        <w:bidi w:val="0"/>
        <w:rPr>
          <w:rFonts w:hint="default"/>
          <w:lang w:val="en-US" w:eastAsia="zh-CN"/>
        </w:rPr>
      </w:pPr>
      <w:r>
        <w:rPr>
          <w:rFonts w:hint="default"/>
          <w:lang w:val="en-US" w:eastAsia="zh-CN"/>
        </w:rPr>
        <w:t>乡村振兴全面推进。加强耕地保护，做到违法用地“零新增”，牢牢守住耕地红线。累计建成高标准农田90万亩，连续四年受到省、市政府激励表彰。粮食播种面积131.7万亩，总产62.8万吨，实现“二十连丰”。在全省粮食安全责任制考核中，连续6年取得优秀等次。大力培育农业产业化龙头企业，新增国家级示范合作社1家、省级示范家庭农场2家、市级4家，市级以上农业产业化龙头企业达35家。成功创建4个农产品绿色食品标志，并入选首批“豫农优品”名录。加快推进100个村庄基础设施建设，完成77.6万平方米农村道路建设。巩固开展“六清”、治理“六乱”成果，卫生厕所普及率达89.4%。新识别监测对象45户166人，风险消除监测对象124户373人。投入资金1.9亿元，实施各类项目170个，守住了不发生规模性返贫的底线。</w:t>
      </w:r>
    </w:p>
    <w:p w14:paraId="4FB8F6D5">
      <w:pPr>
        <w:bidi w:val="0"/>
        <w:rPr>
          <w:rFonts w:hint="default"/>
          <w:lang w:val="en-US" w:eastAsia="zh-CN"/>
        </w:rPr>
      </w:pPr>
      <w:r>
        <w:rPr>
          <w:rFonts w:hint="eastAsia" w:ascii="宋体" w:hAnsi="宋体" w:eastAsia="宋体" w:cs="宋体"/>
          <w:i w:val="0"/>
          <w:iCs w:val="0"/>
          <w:caps w:val="0"/>
          <w:color w:val="000000"/>
          <w:spacing w:val="0"/>
          <w:sz w:val="28"/>
          <w:szCs w:val="28"/>
        </w:rPr>
        <w:t>城市功能更加完善。投资3580万元，提升改造三贤路、福聚路等5条路段。投资8100万元，实施人民路、福星大道等7条道路雨水管网建设项目，新建管道12.7公里。投资1170万元，纠正文化路、北二环等5处雨污水管网混接错接问题。改造老旧小区8个，惠及群众1341户，完成尉州新天地安置房建设，持续推进康平水岸、康平港湾建设项目，100座桥梁、100座街心游园、100座公厕全部建成。投资3170万元，新购置50辆电动公交车。完成69处智慧水务分区计量总表安装，新增供水管网3088米、供暖面积5.6万平方米。持续推进城区生态环境综合整治，两湖项目建成并对外开放，成为集防洪排涝、历史文化、观光赏景、休闲娱乐于一体的城市新地标，护城河、北康沟河治理项目基本完工，内河水质得到极大改善。</w:t>
      </w:r>
    </w:p>
    <w:p w14:paraId="03EE4D99">
      <w:pPr>
        <w:bidi w:val="0"/>
        <w:rPr>
          <w:rFonts w:hint="default"/>
          <w:lang w:val="en-US" w:eastAsia="zh-CN"/>
        </w:rPr>
      </w:pPr>
      <w:r>
        <w:rPr>
          <w:rFonts w:hint="default"/>
          <w:lang w:val="en-US" w:eastAsia="zh-CN"/>
        </w:rPr>
        <w:t>民生福祉持续增进</w:t>
      </w:r>
      <w:r>
        <w:rPr>
          <w:rFonts w:hint="eastAsia"/>
          <w:lang w:val="en-US" w:eastAsia="zh-CN"/>
        </w:rPr>
        <w:t>。民生支出34亿元，占财政总支出的75.6%。投资3000万元，新建纱厂西路幼儿园；投资3053万元，实施校舍改扩建项目10个，新增义务教育学位1895个。投资13亿元的郑州理工职业学院（开封校区）项目已基本完工。尉氏一中新校区建成并投入使用。县中心医院成功创建省级“三级卒中中心”、“三级创伤中心”和“微创介入中心”，县人民医院在全市率先完成县级医院急诊急救三大中心和临床服务五大中心建设，120个村卫生室完成标准化、规范化建设，“两癌”、“两筛”均超额完成省定任务。投资1200万元，完成两湖综合养老服务中心建设，建成社区养老助餐场所43个，提供老年助餐服务16.2万人次。完成家庭适老化改造455户，老年食堂实现乡镇（街道）全覆盖。发放养老金12.2亿元、社会救助资金7005.7万元。深入推进“人人持证、技能河南”建设，完成职业技能培训2.7万人次，新增技能人才8688人、高技能人才2673人。新增城镇就业8229人、农村劳动力转移就业8482人、失业人员再就业1736人。</w:t>
      </w:r>
    </w:p>
    <w:p w14:paraId="2A8A87E5">
      <w:pPr>
        <w:bidi w:val="0"/>
        <w:rPr>
          <w:rFonts w:hint="default"/>
          <w:highlight w:val="none"/>
          <w:lang w:val="en-US" w:eastAsia="zh-CN"/>
        </w:rPr>
      </w:pPr>
      <w:r>
        <w:rPr>
          <w:rFonts w:hint="default"/>
          <w:lang w:val="en-US" w:eastAsia="zh-CN"/>
        </w:rPr>
        <w:t>风险底线守得更牢</w:t>
      </w:r>
      <w:r>
        <w:rPr>
          <w:rFonts w:hint="eastAsia"/>
          <w:lang w:val="en-US" w:eastAsia="zh-CN"/>
        </w:rPr>
        <w:t>。深入推进安全生产治本攻坚三年行动，扎实开展事故隐患集中排查整治活动，查处违法行为205项，已完成整改199项，共办理行政执法案件87件，全县未发生较大以上生产安全事故，工业企业安全事故“零亡人”。统筹推进盗抢骗、电信网络诈骗、食药环、黄赌毒等违法犯罪专项治理，公共安全环境进一步优化。</w:t>
      </w:r>
      <w:r>
        <w:rPr>
          <w:rFonts w:hint="eastAsia"/>
          <w:highlight w:val="none"/>
          <w:lang w:val="en-US" w:eastAsia="zh-CN"/>
        </w:rPr>
        <w:t>深入开展“三零”平安创建，村（社区）达标率93.4%，企事业单位达标率99.5%，连续5年被评为全省平安建设先进县。空气质量综合指数、PM10、PM2.5浓度在四县中均排名第一，优良天数达254天，实现“三连升”。开工建设城北污水处理厂，持续推进尾水湿地水质净化工程建设，地下水、饮用水水源地水质达标率100%。完成14个“一住两公”地块评审，农用地和建设用地安全利用率达到100%。</w:t>
      </w:r>
    </w:p>
    <w:p w14:paraId="219BBF35">
      <w:pPr>
        <w:keepNext w:val="0"/>
        <w:keepLines w:val="0"/>
        <w:pageBreakBefore w:val="0"/>
        <w:widowControl/>
        <w:kinsoku/>
        <w:wordWrap/>
        <w:overflowPunct/>
        <w:topLinePunct w:val="0"/>
        <w:autoSpaceDE/>
        <w:autoSpaceDN/>
        <w:bidi w:val="0"/>
        <w:adjustRightInd/>
        <w:snapToGrid/>
        <w:textAlignment w:val="auto"/>
        <w:rPr>
          <w:rFonts w:hint="default"/>
          <w:highlight w:val="none"/>
          <w:lang w:val="en-US" w:eastAsia="zh-CN"/>
        </w:rPr>
      </w:pPr>
      <w:r>
        <w:rPr>
          <w:rFonts w:hint="default"/>
          <w:highlight w:val="none"/>
          <w:lang w:val="en-US" w:eastAsia="zh-CN"/>
        </w:rPr>
        <w:t>20</w:t>
      </w:r>
      <w:r>
        <w:rPr>
          <w:rFonts w:hint="eastAsia"/>
          <w:highlight w:val="none"/>
          <w:lang w:val="en-US" w:eastAsia="zh-CN"/>
        </w:rPr>
        <w:t>21</w:t>
      </w:r>
      <w:r>
        <w:rPr>
          <w:rFonts w:hint="default"/>
          <w:highlight w:val="none"/>
          <w:lang w:val="en-US" w:eastAsia="zh-CN"/>
        </w:rPr>
        <w:t xml:space="preserve"> 年为增加区域</w:t>
      </w:r>
      <w:r>
        <w:rPr>
          <w:rFonts w:hint="eastAsia"/>
          <w:highlight w:val="none"/>
          <w:lang w:val="en-US" w:eastAsia="zh-CN"/>
        </w:rPr>
        <w:t>商业</w:t>
      </w:r>
      <w:r>
        <w:rPr>
          <w:rFonts w:hint="default"/>
          <w:highlight w:val="none"/>
          <w:lang w:val="en-US" w:eastAsia="zh-CN"/>
        </w:rPr>
        <w:t>服务能力，编制了《</w:t>
      </w:r>
      <w:r>
        <w:rPr>
          <w:rFonts w:hint="eastAsia"/>
          <w:highlight w:val="none"/>
          <w:lang w:val="en-US" w:eastAsia="zh-CN"/>
        </w:rPr>
        <w:t>尉政土【2021】42号地块</w:t>
      </w:r>
      <w:r>
        <w:rPr>
          <w:rFonts w:hint="default"/>
          <w:highlight w:val="none"/>
          <w:lang w:val="en-US" w:eastAsia="zh-CN"/>
        </w:rPr>
        <w:t>控制性详细规划》</w:t>
      </w:r>
      <w:r>
        <w:rPr>
          <w:rFonts w:hint="eastAsia"/>
          <w:highlight w:val="none"/>
          <w:lang w:val="en-US" w:eastAsia="zh-CN"/>
        </w:rPr>
        <w:t>。</w:t>
      </w:r>
    </w:p>
    <w:p w14:paraId="26CB64A3">
      <w:pPr>
        <w:keepNext w:val="0"/>
        <w:keepLines w:val="0"/>
        <w:pageBreakBefore w:val="0"/>
        <w:widowControl/>
        <w:kinsoku/>
        <w:wordWrap/>
        <w:overflowPunct/>
        <w:topLinePunct w:val="0"/>
        <w:autoSpaceDE/>
        <w:autoSpaceDN/>
        <w:bidi w:val="0"/>
        <w:adjustRightInd/>
        <w:snapToGrid/>
        <w:textAlignment w:val="auto"/>
        <w:rPr>
          <w:rFonts w:hint="default"/>
          <w:highlight w:val="yellow"/>
          <w:lang w:val="en-US" w:eastAsia="zh-CN"/>
        </w:rPr>
      </w:pPr>
      <w:r>
        <w:rPr>
          <w:rFonts w:hint="eastAsia"/>
          <w:highlight w:val="none"/>
          <w:lang w:val="en-US" w:eastAsia="zh-CN"/>
        </w:rPr>
        <w:t>随着城市的快速发展，城市建设的日益活跃，合理布局城市空间有利于促进土地资源集约利用，降低交通运输成本，提高经济效益，同时可减少城市管理成本，拟将《尉政土【2021】42号地块控制性详细规划》用地性质从公用设施营业网点用地调整为仓储用地</w:t>
      </w:r>
      <w:r>
        <w:rPr>
          <w:rFonts w:hint="default"/>
          <w:highlight w:val="none"/>
          <w:lang w:val="en-US" w:eastAsia="zh-CN"/>
        </w:rPr>
        <w:t>，</w:t>
      </w:r>
      <w:r>
        <w:rPr>
          <w:rFonts w:hint="eastAsia"/>
          <w:highlight w:val="none"/>
          <w:lang w:val="en-US" w:eastAsia="zh-CN"/>
        </w:rPr>
        <w:t>并</w:t>
      </w:r>
      <w:r>
        <w:rPr>
          <w:rFonts w:hint="default"/>
          <w:highlight w:val="none"/>
          <w:lang w:val="en-US" w:eastAsia="zh-CN"/>
        </w:rPr>
        <w:t>对调整方案进行论证。</w:t>
      </w:r>
    </w:p>
    <w:p w14:paraId="17F4BA84">
      <w:pPr>
        <w:pStyle w:val="3"/>
        <w:bidi w:val="0"/>
        <w:ind w:left="0" w:leftChars="0" w:firstLine="0" w:firstLineChars="0"/>
        <w:rPr>
          <w:rFonts w:ascii="黑体" w:hAnsi="黑体" w:cs="黑体"/>
          <w:color w:val="000000"/>
          <w:spacing w:val="1"/>
          <w:sz w:val="32"/>
          <w:highlight w:val="none"/>
        </w:rPr>
      </w:pPr>
      <w:bookmarkStart w:id="2" w:name="_Toc31481"/>
      <w:r>
        <w:rPr>
          <w:rFonts w:hint="eastAsia"/>
          <w:highlight w:val="none"/>
          <w:lang w:val="en-US" w:eastAsia="zh-CN"/>
        </w:rPr>
        <w:t xml:space="preserve">1.2 </w:t>
      </w:r>
      <w:r>
        <w:rPr>
          <w:rFonts w:ascii="黑体" w:hAnsi="黑体" w:cs="黑体"/>
          <w:color w:val="000000"/>
          <w:spacing w:val="1"/>
          <w:sz w:val="32"/>
          <w:highlight w:val="none"/>
        </w:rPr>
        <w:t>项目区位与范围面积</w:t>
      </w:r>
      <w:bookmarkEnd w:id="2"/>
    </w:p>
    <w:p w14:paraId="0171B2FA">
      <w:pPr>
        <w:rPr>
          <w:rFonts w:hint="default"/>
          <w:highlight w:val="none"/>
          <w:lang w:val="en-US" w:eastAsia="zh-CN"/>
        </w:rPr>
      </w:pPr>
      <w:r>
        <w:rPr>
          <w:rFonts w:hint="default"/>
          <w:highlight w:val="none"/>
          <w:lang w:val="en-US" w:eastAsia="zh-CN"/>
        </w:rPr>
        <w:t>项目区位：规划区位于尉氏县中心城区</w:t>
      </w:r>
      <w:r>
        <w:rPr>
          <w:rFonts w:hint="eastAsia"/>
          <w:highlight w:val="none"/>
          <w:lang w:val="en-US" w:eastAsia="zh-CN"/>
        </w:rPr>
        <w:t>北</w:t>
      </w:r>
      <w:r>
        <w:rPr>
          <w:rFonts w:hint="default"/>
          <w:highlight w:val="none"/>
          <w:lang w:val="en-US" w:eastAsia="zh-CN"/>
        </w:rPr>
        <w:t>部。</w:t>
      </w:r>
      <w:r>
        <w:rPr>
          <w:rFonts w:hint="eastAsia"/>
          <w:highlight w:val="none"/>
          <w:lang w:val="en-US" w:eastAsia="zh-CN"/>
        </w:rPr>
        <w:t xml:space="preserve"> </w:t>
      </w:r>
    </w:p>
    <w:p w14:paraId="191EA7C5">
      <w:pPr>
        <w:rPr>
          <w:rFonts w:hint="default"/>
          <w:highlight w:val="none"/>
          <w:lang w:val="en-US" w:eastAsia="zh-CN"/>
        </w:rPr>
      </w:pPr>
      <w:r>
        <w:rPr>
          <w:rFonts w:hint="default"/>
          <w:highlight w:val="none"/>
          <w:lang w:val="en-US" w:eastAsia="zh-CN"/>
        </w:rPr>
        <w:t>范围面积：</w:t>
      </w:r>
      <w:r>
        <w:rPr>
          <w:rFonts w:hint="eastAsia"/>
          <w:highlight w:val="none"/>
          <w:lang w:val="en-US" w:eastAsia="zh-CN"/>
        </w:rPr>
        <w:t>西临开尉路</w:t>
      </w:r>
      <w:r>
        <w:rPr>
          <w:rFonts w:hint="default"/>
          <w:highlight w:val="none"/>
          <w:lang w:val="en-US" w:eastAsia="zh-CN"/>
        </w:rPr>
        <w:t xml:space="preserve">，规划面积 </w:t>
      </w:r>
      <w:r>
        <w:rPr>
          <w:rFonts w:hint="eastAsia"/>
          <w:highlight w:val="none"/>
          <w:lang w:val="en-US" w:eastAsia="zh-CN"/>
        </w:rPr>
        <w:t xml:space="preserve">5303 </w:t>
      </w:r>
      <w:r>
        <w:rPr>
          <w:rFonts w:hint="default"/>
          <w:highlight w:val="none"/>
          <w:lang w:val="en-US" w:eastAsia="zh-CN"/>
        </w:rPr>
        <w:t>平方米。</w:t>
      </w:r>
    </w:p>
    <w:p w14:paraId="3A73878F">
      <w:pPr>
        <w:pStyle w:val="3"/>
        <w:numPr>
          <w:ilvl w:val="1"/>
          <w:numId w:val="0"/>
        </w:numPr>
        <w:bidi w:val="0"/>
        <w:ind w:left="0" w:leftChars="0" w:firstLine="0" w:firstLineChars="0"/>
        <w:rPr>
          <w:rFonts w:hint="default"/>
          <w:highlight w:val="none"/>
          <w:lang w:val="en-US" w:eastAsia="zh-CN"/>
        </w:rPr>
      </w:pPr>
      <w:bookmarkStart w:id="3" w:name="_Toc15453"/>
      <w:r>
        <w:rPr>
          <w:rFonts w:hint="default" w:ascii="Arial" w:hAnsi="Arial" w:eastAsia="黑体" w:cs="Times New Roman"/>
          <w:b/>
          <w:sz w:val="32"/>
          <w:szCs w:val="22"/>
          <w:highlight w:val="none"/>
          <w:lang w:val="en-US" w:eastAsia="zh-CN" w:bidi="ar-SA"/>
        </w:rPr>
        <w:t>1.</w:t>
      </w:r>
      <w:r>
        <w:rPr>
          <w:rFonts w:hint="eastAsia" w:cs="Times New Roman"/>
          <w:b/>
          <w:sz w:val="32"/>
          <w:szCs w:val="22"/>
          <w:highlight w:val="none"/>
          <w:lang w:val="en-US" w:eastAsia="zh-CN" w:bidi="ar-SA"/>
        </w:rPr>
        <w:t xml:space="preserve">3 </w:t>
      </w:r>
      <w:r>
        <w:rPr>
          <w:rFonts w:hint="eastAsia"/>
          <w:highlight w:val="none"/>
          <w:lang w:val="en-US" w:eastAsia="zh-CN"/>
        </w:rPr>
        <w:t>场地内部现状</w:t>
      </w:r>
      <w:bookmarkEnd w:id="3"/>
      <w:r>
        <w:rPr>
          <w:rFonts w:hint="eastAsia"/>
          <w:highlight w:val="none"/>
          <w:lang w:val="en-US" w:eastAsia="zh-CN"/>
        </w:rPr>
        <w:t xml:space="preserve">     </w:t>
      </w:r>
    </w:p>
    <w:p w14:paraId="62942E41">
      <w:pPr>
        <w:numPr>
          <w:ilvl w:val="0"/>
          <w:numId w:val="0"/>
        </w:numPr>
        <w:ind w:leftChars="0" w:firstLine="560" w:firstLineChars="200"/>
        <w:rPr>
          <w:rFonts w:hint="default"/>
          <w:highlight w:val="none"/>
          <w:lang w:val="en-US" w:eastAsia="zh-CN"/>
        </w:rPr>
      </w:pPr>
      <w:r>
        <w:rPr>
          <w:rFonts w:hint="default"/>
          <w:highlight w:val="none"/>
          <w:lang w:val="en-US" w:eastAsia="zh-CN"/>
        </w:rPr>
        <w:t>场地内部地势高低起伏不大，基本无需工程处理即可作为城市建设用地，工程地质和水文地质优良，属一类建设用地。</w:t>
      </w:r>
    </w:p>
    <w:p w14:paraId="1DF1DAFF">
      <w:pPr>
        <w:pStyle w:val="3"/>
        <w:bidi w:val="0"/>
        <w:ind w:left="0" w:leftChars="0" w:firstLine="0" w:firstLineChars="0"/>
        <w:rPr>
          <w:rFonts w:hint="eastAsia"/>
          <w:highlight w:val="none"/>
          <w:lang w:val="en-US" w:eastAsia="zh-CN"/>
        </w:rPr>
      </w:pPr>
      <w:bookmarkStart w:id="4" w:name="_Toc17846"/>
      <w:r>
        <w:rPr>
          <w:rFonts w:hint="eastAsia"/>
          <w:highlight w:val="none"/>
          <w:lang w:val="en-US" w:eastAsia="zh-CN"/>
        </w:rPr>
        <w:t>1.4 周边建设情况</w:t>
      </w:r>
      <w:bookmarkEnd w:id="4"/>
    </w:p>
    <w:p w14:paraId="09076E7E">
      <w:pPr>
        <w:ind w:left="0" w:leftChars="0" w:firstLine="560" w:firstLineChars="200"/>
        <w:rPr>
          <w:rFonts w:hint="default"/>
          <w:highlight w:val="none"/>
          <w:lang w:val="en-US" w:eastAsia="zh-CN"/>
        </w:rPr>
      </w:pPr>
      <w:r>
        <w:rPr>
          <w:rFonts w:hint="default"/>
          <w:highlight w:val="none"/>
          <w:lang w:val="en-US" w:eastAsia="zh-CN"/>
        </w:rPr>
        <w:t>地块</w:t>
      </w:r>
      <w:r>
        <w:rPr>
          <w:rFonts w:hint="eastAsia"/>
          <w:highlight w:val="none"/>
          <w:lang w:val="en-US" w:eastAsia="zh-CN"/>
        </w:rPr>
        <w:t>西</w:t>
      </w:r>
      <w:r>
        <w:rPr>
          <w:rFonts w:hint="default"/>
          <w:highlight w:val="none"/>
          <w:lang w:val="en-US" w:eastAsia="zh-CN"/>
        </w:rPr>
        <w:t>临</w:t>
      </w:r>
      <w:r>
        <w:rPr>
          <w:rFonts w:hint="eastAsia"/>
          <w:highlight w:val="none"/>
          <w:lang w:val="en-US" w:eastAsia="zh-CN"/>
        </w:rPr>
        <w:t>开尉路</w:t>
      </w:r>
      <w:r>
        <w:rPr>
          <w:rFonts w:hint="default"/>
          <w:highlight w:val="none"/>
          <w:lang w:val="en-US" w:eastAsia="zh-CN"/>
        </w:rPr>
        <w:t>，</w:t>
      </w:r>
      <w:r>
        <w:rPr>
          <w:rFonts w:hint="eastAsia"/>
          <w:highlight w:val="none"/>
          <w:lang w:val="en-US" w:eastAsia="zh-CN"/>
        </w:rPr>
        <w:t>西侧现状为木材厂及种植大棚，北</w:t>
      </w:r>
      <w:r>
        <w:rPr>
          <w:rFonts w:hint="default"/>
          <w:highlight w:val="none"/>
          <w:lang w:val="en-US" w:eastAsia="zh-CN"/>
        </w:rPr>
        <w:t>侧</w:t>
      </w:r>
      <w:r>
        <w:rPr>
          <w:rFonts w:hint="eastAsia"/>
          <w:highlight w:val="none"/>
          <w:lang w:val="en-US" w:eastAsia="zh-CN"/>
        </w:rPr>
        <w:t>、南侧</w:t>
      </w:r>
      <w:r>
        <w:rPr>
          <w:rFonts w:hint="default"/>
          <w:highlight w:val="none"/>
          <w:lang w:val="en-US" w:eastAsia="zh-CN"/>
        </w:rPr>
        <w:t>现状</w:t>
      </w:r>
      <w:r>
        <w:rPr>
          <w:rFonts w:hint="eastAsia"/>
          <w:highlight w:val="none"/>
          <w:lang w:val="en-US" w:eastAsia="zh-CN"/>
        </w:rPr>
        <w:t>用地为木材厂，东侧为沟渠</w:t>
      </w:r>
      <w:r>
        <w:rPr>
          <w:rFonts w:hint="default"/>
          <w:highlight w:val="none"/>
          <w:lang w:val="en-US" w:eastAsia="zh-CN"/>
        </w:rPr>
        <w:t>。</w:t>
      </w:r>
    </w:p>
    <w:p w14:paraId="3BE5163B">
      <w:pPr>
        <w:ind w:left="0" w:leftChars="0" w:firstLine="560" w:firstLineChars="200"/>
        <w:jc w:val="center"/>
        <w:rPr>
          <w:rFonts w:hint="default"/>
          <w:highlight w:val="none"/>
          <w:lang w:val="en-US" w:eastAsia="zh-CN"/>
        </w:rPr>
      </w:pPr>
      <w:r>
        <w:rPr>
          <w:rFonts w:hint="default"/>
          <w:highlight w:val="none"/>
          <w:lang w:val="en-US" w:eastAsia="zh-CN"/>
        </w:rPr>
        <w:drawing>
          <wp:inline distT="0" distB="0" distL="114300" distR="114300">
            <wp:extent cx="4766945" cy="3463290"/>
            <wp:effectExtent l="0" t="0" r="14605" b="3810"/>
            <wp:docPr id="1" name="图片 1" descr="E:/0-2025年工作/2025.4补控规/2025.9.5商登高速开尉路西北地块论证报告/作图基础资料/飞鸽截图20250908102549.png飞鸽截图2025090810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0-2025年工作/2025.4补控规/2025.9.5商登高速开尉路西北地块论证报告/作图基础资料/飞鸽截图20250908102549.png飞鸽截图20250908102549"/>
                    <pic:cNvPicPr>
                      <a:picLocks noChangeAspect="1"/>
                    </pic:cNvPicPr>
                  </pic:nvPicPr>
                  <pic:blipFill>
                    <a:blip r:embed="rId8"/>
                    <a:srcRect l="1613" r="1613"/>
                    <a:stretch>
                      <a:fillRect/>
                    </a:stretch>
                  </pic:blipFill>
                  <pic:spPr>
                    <a:xfrm>
                      <a:off x="0" y="0"/>
                      <a:ext cx="4766945" cy="3463290"/>
                    </a:xfrm>
                    <a:prstGeom prst="rect">
                      <a:avLst/>
                    </a:prstGeom>
                  </pic:spPr>
                </pic:pic>
              </a:graphicData>
            </a:graphic>
          </wp:inline>
        </w:drawing>
      </w:r>
    </w:p>
    <w:p w14:paraId="6C70A92D">
      <w:pPr>
        <w:bidi w:val="0"/>
        <w:jc w:val="center"/>
        <w:rPr>
          <w:rFonts w:ascii="宋体" w:hAnsi="宋体" w:cs="宋体"/>
          <w:color w:val="000000"/>
          <w:spacing w:val="0"/>
          <w:sz w:val="28"/>
          <w:highlight w:val="none"/>
        </w:rPr>
      </w:pPr>
      <w:r>
        <w:rPr>
          <w:rFonts w:ascii="宋体" w:hAnsi="宋体" w:cs="宋体"/>
          <w:color w:val="000000"/>
          <w:spacing w:val="0"/>
          <w:sz w:val="28"/>
          <w:highlight w:val="none"/>
        </w:rPr>
        <w:t>图</w:t>
      </w:r>
      <w:r>
        <w:rPr>
          <w:rFonts w:ascii="Times New Roman"/>
          <w:color w:val="000000"/>
          <w:spacing w:val="0"/>
          <w:sz w:val="28"/>
          <w:highlight w:val="none"/>
        </w:rPr>
        <w:t xml:space="preserve"> </w:t>
      </w:r>
      <w:r>
        <w:rPr>
          <w:rFonts w:ascii="VFATQQ+TimesNewRomanPSMT"/>
          <w:color w:val="000000"/>
          <w:spacing w:val="1"/>
          <w:sz w:val="28"/>
          <w:highlight w:val="none"/>
        </w:rPr>
        <w:t>1-1</w:t>
      </w:r>
      <w:r>
        <w:rPr>
          <w:rFonts w:ascii="Times New Roman"/>
          <w:color w:val="000000"/>
          <w:spacing w:val="67"/>
          <w:sz w:val="28"/>
          <w:highlight w:val="none"/>
        </w:rPr>
        <w:t xml:space="preserve"> </w:t>
      </w:r>
      <w:r>
        <w:rPr>
          <w:rFonts w:ascii="宋体" w:hAnsi="宋体" w:cs="宋体"/>
          <w:color w:val="000000"/>
          <w:spacing w:val="0"/>
          <w:sz w:val="28"/>
          <w:highlight w:val="none"/>
        </w:rPr>
        <w:t>周边建设情况</w:t>
      </w:r>
    </w:p>
    <w:p w14:paraId="2317248B">
      <w:pPr>
        <w:bidi w:val="0"/>
        <w:ind w:left="0" w:leftChars="0" w:firstLine="0" w:firstLineChars="0"/>
        <w:jc w:val="center"/>
        <w:rPr>
          <w:rFonts w:hint="default" w:ascii="宋体" w:hAnsi="宋体" w:eastAsia="宋体" w:cs="宋体"/>
          <w:color w:val="000000"/>
          <w:spacing w:val="0"/>
          <w:sz w:val="28"/>
          <w:highlight w:val="none"/>
          <w:lang w:val="en-US" w:eastAsia="zh-CN"/>
        </w:rPr>
      </w:pPr>
      <w:r>
        <w:rPr>
          <w:rFonts w:hint="eastAsia" w:ascii="宋体" w:hAnsi="宋体" w:eastAsia="宋体" w:cs="宋体"/>
          <w:color w:val="000000"/>
          <w:spacing w:val="0"/>
          <w:sz w:val="28"/>
          <w:highlight w:val="none"/>
          <w:lang w:val="en-US" w:eastAsia="zh-CN"/>
        </w:rPr>
        <w:drawing>
          <wp:inline distT="0" distB="0" distL="114300" distR="114300">
            <wp:extent cx="2318385" cy="2090420"/>
            <wp:effectExtent l="0" t="0" r="5715" b="5080"/>
            <wp:docPr id="2" name="图片 2" descr="E:/0-2025年工作/2025.4补控规/2025.9.5商登高速开尉路西北地块论证报告/现状照片/微信图片_20250908093142_26_7.jpg微信图片_20250908093142_26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2025年工作/2025.4补控规/2025.9.5商登高速开尉路西北地块论证报告/现状照片/微信图片_20250908093142_26_7.jpg微信图片_20250908093142_26_7"/>
                    <pic:cNvPicPr>
                      <a:picLocks noChangeAspect="1"/>
                    </pic:cNvPicPr>
                  </pic:nvPicPr>
                  <pic:blipFill>
                    <a:blip r:embed="rId9"/>
                    <a:srcRect l="8414" r="8414"/>
                    <a:stretch>
                      <a:fillRect/>
                    </a:stretch>
                  </pic:blipFill>
                  <pic:spPr>
                    <a:xfrm>
                      <a:off x="0" y="0"/>
                      <a:ext cx="2318385" cy="2090420"/>
                    </a:xfrm>
                    <a:prstGeom prst="rect">
                      <a:avLst/>
                    </a:prstGeom>
                  </pic:spPr>
                </pic:pic>
              </a:graphicData>
            </a:graphic>
          </wp:inline>
        </w:drawing>
      </w:r>
      <w:r>
        <w:rPr>
          <w:rFonts w:hint="eastAsia" w:ascii="宋体" w:hAnsi="宋体" w:cs="宋体"/>
          <w:color w:val="000000"/>
          <w:spacing w:val="0"/>
          <w:sz w:val="28"/>
          <w:highlight w:val="none"/>
          <w:lang w:val="en-US" w:eastAsia="zh-CN"/>
        </w:rPr>
        <w:t xml:space="preserve"> </w:t>
      </w:r>
      <w:r>
        <w:rPr>
          <w:rFonts w:hint="default" w:ascii="宋体" w:hAnsi="宋体" w:eastAsia="宋体" w:cs="宋体"/>
          <w:color w:val="000000"/>
          <w:spacing w:val="0"/>
          <w:sz w:val="28"/>
          <w:highlight w:val="none"/>
          <w:lang w:val="en-US" w:eastAsia="zh-CN"/>
        </w:rPr>
        <w:drawing>
          <wp:inline distT="0" distB="0" distL="114300" distR="114300">
            <wp:extent cx="2809875" cy="2084070"/>
            <wp:effectExtent l="0" t="0" r="9525" b="11430"/>
            <wp:docPr id="3" name="图片 3" descr="E:/0-2025年工作/2025.4补控规/2025.9.5商登高速开尉路西北地块论证报告/现状照片/微信图片_20250908093140_25_7.jpg微信图片_20250908093140_2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0-2025年工作/2025.4补控规/2025.9.5商登高速开尉路西北地块论证报告/现状照片/微信图片_20250908093140_25_7.jpg微信图片_20250908093140_25_7"/>
                    <pic:cNvPicPr>
                      <a:picLocks noChangeAspect="1"/>
                    </pic:cNvPicPr>
                  </pic:nvPicPr>
                  <pic:blipFill>
                    <a:blip r:embed="rId10"/>
                    <a:srcRect t="554" b="554"/>
                    <a:stretch>
                      <a:fillRect/>
                    </a:stretch>
                  </pic:blipFill>
                  <pic:spPr>
                    <a:xfrm>
                      <a:off x="0" y="0"/>
                      <a:ext cx="2809875" cy="2084070"/>
                    </a:xfrm>
                    <a:prstGeom prst="rect">
                      <a:avLst/>
                    </a:prstGeom>
                  </pic:spPr>
                </pic:pic>
              </a:graphicData>
            </a:graphic>
          </wp:inline>
        </w:drawing>
      </w:r>
    </w:p>
    <w:p w14:paraId="4B8B5B85">
      <w:pPr>
        <w:bidi w:val="0"/>
        <w:ind w:left="0" w:leftChars="0" w:firstLine="280" w:firstLineChars="100"/>
        <w:jc w:val="both"/>
        <w:rPr>
          <w:rFonts w:hint="default" w:ascii="宋体" w:hAnsi="宋体" w:cs="宋体" w:eastAsiaTheme="minorEastAsia"/>
          <w:color w:val="000000"/>
          <w:spacing w:val="0"/>
          <w:sz w:val="28"/>
          <w:highlight w:val="none"/>
          <w:lang w:val="en-US" w:eastAsia="zh-CN"/>
        </w:rPr>
      </w:pPr>
      <w:r>
        <w:rPr>
          <w:rFonts w:hint="eastAsia" w:asciiTheme="minorEastAsia" w:hAnsiTheme="minorEastAsia" w:eastAsiaTheme="minorEastAsia" w:cstheme="minorEastAsia"/>
          <w:color w:val="000000"/>
          <w:spacing w:val="0"/>
          <w:sz w:val="28"/>
          <w:highlight w:val="none"/>
        </w:rPr>
        <w:t>图 1-2</w:t>
      </w:r>
      <w:r>
        <w:rPr>
          <w:rFonts w:hint="eastAsia" w:asciiTheme="minorEastAsia" w:hAnsiTheme="minorEastAsia" w:eastAsiaTheme="minorEastAsia" w:cstheme="minorEastAsia"/>
          <w:color w:val="000000"/>
          <w:spacing w:val="71"/>
          <w:sz w:val="28"/>
          <w:highlight w:val="none"/>
        </w:rPr>
        <w:t xml:space="preserve"> </w:t>
      </w:r>
      <w:r>
        <w:rPr>
          <w:rFonts w:hint="eastAsia" w:asciiTheme="minorEastAsia" w:hAnsiTheme="minorEastAsia" w:eastAsiaTheme="minorEastAsia" w:cstheme="minorEastAsia"/>
          <w:color w:val="000000"/>
          <w:spacing w:val="0"/>
          <w:sz w:val="28"/>
          <w:highlight w:val="none"/>
          <w:lang w:val="en-US" w:eastAsia="zh-CN"/>
        </w:rPr>
        <w:t xml:space="preserve">南侧木材厂              </w:t>
      </w:r>
      <w:r>
        <w:rPr>
          <w:rFonts w:hint="eastAsia" w:asciiTheme="minorEastAsia" w:hAnsiTheme="minorEastAsia" w:eastAsiaTheme="minorEastAsia" w:cstheme="minorEastAsia"/>
          <w:color w:val="000000"/>
          <w:spacing w:val="0"/>
          <w:sz w:val="28"/>
          <w:highlight w:val="none"/>
        </w:rPr>
        <w:t>图 1-3</w:t>
      </w:r>
      <w:r>
        <w:rPr>
          <w:rFonts w:hint="eastAsia" w:asciiTheme="minorEastAsia" w:hAnsiTheme="minorEastAsia" w:eastAsiaTheme="minorEastAsia" w:cstheme="minorEastAsia"/>
          <w:color w:val="000000"/>
          <w:spacing w:val="71"/>
          <w:sz w:val="28"/>
          <w:highlight w:val="none"/>
        </w:rPr>
        <w:t xml:space="preserve"> </w:t>
      </w:r>
      <w:r>
        <w:rPr>
          <w:rFonts w:hint="eastAsia" w:asciiTheme="minorEastAsia" w:hAnsiTheme="minorEastAsia" w:eastAsiaTheme="minorEastAsia" w:cstheme="minorEastAsia"/>
          <w:color w:val="000000"/>
          <w:spacing w:val="71"/>
          <w:sz w:val="28"/>
          <w:highlight w:val="none"/>
          <w:lang w:val="en-US" w:eastAsia="zh-CN"/>
        </w:rPr>
        <w:t>北侧木材厂</w:t>
      </w:r>
    </w:p>
    <w:p w14:paraId="0F7E57A0">
      <w:pPr>
        <w:bidi w:val="0"/>
        <w:ind w:left="0" w:leftChars="0" w:firstLine="0" w:firstLineChars="0"/>
        <w:jc w:val="both"/>
        <w:rPr>
          <w:rFonts w:hint="default" w:ascii="宋体" w:hAnsi="宋体" w:eastAsia="宋体" w:cs="宋体"/>
          <w:color w:val="000000"/>
          <w:spacing w:val="0"/>
          <w:sz w:val="28"/>
          <w:highlight w:val="none"/>
          <w:lang w:val="en-US" w:eastAsia="zh-CN"/>
        </w:rPr>
      </w:pPr>
      <w:r>
        <w:rPr>
          <w:rFonts w:hint="eastAsia" w:ascii="宋体" w:hAnsi="宋体" w:eastAsia="宋体" w:cs="宋体"/>
          <w:color w:val="000000"/>
          <w:spacing w:val="0"/>
          <w:sz w:val="28"/>
          <w:highlight w:val="none"/>
          <w:lang w:val="en-US" w:eastAsia="zh-CN"/>
        </w:rPr>
        <w:drawing>
          <wp:inline distT="0" distB="0" distL="114300" distR="114300">
            <wp:extent cx="2496820" cy="1830705"/>
            <wp:effectExtent l="0" t="0" r="17780" b="17145"/>
            <wp:docPr id="5" name="图片 5" descr="E:/0-2025年工作/2025.4补控规/2025.9.5商登高速开尉路西北地块论证报告/现状照片/微信图片_20250908093137_23_7.jpg微信图片_20250908093137_2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0-2025年工作/2025.4补控规/2025.9.5商登高速开尉路西北地块论证报告/现状照片/微信图片_20250908093137_23_7.jpg微信图片_20250908093137_23_7"/>
                    <pic:cNvPicPr>
                      <a:picLocks noChangeAspect="1"/>
                    </pic:cNvPicPr>
                  </pic:nvPicPr>
                  <pic:blipFill>
                    <a:blip r:embed="rId11"/>
                    <a:srcRect t="1132" b="1132"/>
                    <a:stretch>
                      <a:fillRect/>
                    </a:stretch>
                  </pic:blipFill>
                  <pic:spPr>
                    <a:xfrm>
                      <a:off x="0" y="0"/>
                      <a:ext cx="2496820" cy="1830705"/>
                    </a:xfrm>
                    <a:prstGeom prst="rect">
                      <a:avLst/>
                    </a:prstGeom>
                  </pic:spPr>
                </pic:pic>
              </a:graphicData>
            </a:graphic>
          </wp:inline>
        </w:drawing>
      </w:r>
      <w:r>
        <w:rPr>
          <w:rFonts w:hint="eastAsia" w:ascii="宋体" w:hAnsi="宋体" w:cs="宋体"/>
          <w:color w:val="000000"/>
          <w:spacing w:val="0"/>
          <w:sz w:val="28"/>
          <w:highlight w:val="none"/>
          <w:lang w:val="en-US" w:eastAsia="zh-CN"/>
        </w:rPr>
        <w:t xml:space="preserve">  </w:t>
      </w:r>
      <w:r>
        <w:rPr>
          <w:rFonts w:hint="default" w:ascii="宋体" w:hAnsi="宋体" w:eastAsia="宋体" w:cs="宋体"/>
          <w:color w:val="000000"/>
          <w:spacing w:val="0"/>
          <w:sz w:val="28"/>
          <w:highlight w:val="none"/>
          <w:lang w:val="en-US" w:eastAsia="zh-CN"/>
        </w:rPr>
        <w:drawing>
          <wp:inline distT="0" distB="0" distL="114300" distR="114300">
            <wp:extent cx="2545080" cy="1818005"/>
            <wp:effectExtent l="0" t="0" r="7620" b="10795"/>
            <wp:docPr id="6" name="图片 6" descr="E:/0-2025年工作/2025.4补控规/2025.9.5商登高速开尉路西北地块论证报告/现状照片/微信图片_20250908093145_28_7.jpg微信图片_20250908093145_28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2025年工作/2025.4补控规/2025.9.5商登高速开尉路西北地块论证报告/现状照片/微信图片_20250908093145_28_7.jpg微信图片_20250908093145_28_7"/>
                    <pic:cNvPicPr>
                      <a:picLocks noChangeAspect="1"/>
                    </pic:cNvPicPr>
                  </pic:nvPicPr>
                  <pic:blipFill>
                    <a:blip r:embed="rId12"/>
                    <a:srcRect t="2383" b="2383"/>
                    <a:stretch>
                      <a:fillRect/>
                    </a:stretch>
                  </pic:blipFill>
                  <pic:spPr>
                    <a:xfrm>
                      <a:off x="0" y="0"/>
                      <a:ext cx="2545080" cy="1818005"/>
                    </a:xfrm>
                    <a:prstGeom prst="rect">
                      <a:avLst/>
                    </a:prstGeom>
                  </pic:spPr>
                </pic:pic>
              </a:graphicData>
            </a:graphic>
          </wp:inline>
        </w:drawing>
      </w:r>
    </w:p>
    <w:p w14:paraId="04867852">
      <w:pPr>
        <w:widowControl w:val="0"/>
        <w:autoSpaceDE w:val="0"/>
        <w:autoSpaceDN w:val="0"/>
        <w:adjustRightInd w:val="0"/>
        <w:spacing w:before="0" w:after="0" w:line="293" w:lineRule="exact"/>
        <w:ind w:left="0" w:leftChars="0" w:right="0" w:firstLine="280" w:firstLineChars="100"/>
        <w:jc w:val="left"/>
        <w:rPr>
          <w:rFonts w:hint="default" w:ascii="宋体" w:hAnsi="宋体" w:cs="宋体" w:eastAsiaTheme="minorEastAsia"/>
          <w:color w:val="000000"/>
          <w:spacing w:val="0"/>
          <w:sz w:val="28"/>
          <w:highlight w:val="none"/>
          <w:lang w:val="en-US" w:eastAsia="zh-CN"/>
        </w:rPr>
      </w:pPr>
      <w:r>
        <w:rPr>
          <w:rFonts w:hint="eastAsia" w:asciiTheme="minorEastAsia" w:hAnsiTheme="minorEastAsia" w:eastAsiaTheme="minorEastAsia" w:cstheme="minorEastAsia"/>
          <w:color w:val="000000"/>
          <w:spacing w:val="0"/>
          <w:sz w:val="28"/>
          <w:highlight w:val="none"/>
        </w:rPr>
        <w:t>图 1-4</w:t>
      </w:r>
      <w:r>
        <w:rPr>
          <w:rFonts w:hint="eastAsia" w:asciiTheme="minorEastAsia" w:hAnsiTheme="minorEastAsia" w:eastAsiaTheme="minorEastAsia" w:cstheme="minorEastAsia"/>
          <w:color w:val="000000"/>
          <w:spacing w:val="71"/>
          <w:sz w:val="28"/>
          <w:highlight w:val="none"/>
        </w:rPr>
        <w:t xml:space="preserve"> </w:t>
      </w:r>
      <w:r>
        <w:rPr>
          <w:rFonts w:hint="eastAsia" w:asciiTheme="minorEastAsia" w:hAnsiTheme="minorEastAsia" w:eastAsiaTheme="minorEastAsia" w:cstheme="minorEastAsia"/>
          <w:color w:val="000000"/>
          <w:spacing w:val="71"/>
          <w:sz w:val="28"/>
          <w:highlight w:val="none"/>
          <w:lang w:val="en-US" w:eastAsia="zh-CN"/>
        </w:rPr>
        <w:t>西侧木材厂</w:t>
      </w:r>
      <w:r>
        <w:rPr>
          <w:rFonts w:hint="eastAsia" w:asciiTheme="minorEastAsia" w:hAnsiTheme="minorEastAsia" w:eastAsiaTheme="minorEastAsia" w:cstheme="minorEastAsia"/>
          <w:color w:val="000000"/>
          <w:spacing w:val="0"/>
          <w:sz w:val="28"/>
          <w:highlight w:val="none"/>
          <w:lang w:val="en-US" w:eastAsia="zh-CN"/>
        </w:rPr>
        <w:t xml:space="preserve">      </w:t>
      </w:r>
      <w:r>
        <w:rPr>
          <w:rFonts w:hint="eastAsia" w:asciiTheme="minorEastAsia" w:hAnsiTheme="minorEastAsia" w:eastAsiaTheme="minorEastAsia" w:cstheme="minorEastAsia"/>
          <w:color w:val="000000"/>
          <w:spacing w:val="0"/>
          <w:sz w:val="28"/>
          <w:highlight w:val="none"/>
        </w:rPr>
        <w:t>图 1-5</w:t>
      </w:r>
      <w:r>
        <w:rPr>
          <w:rFonts w:hint="eastAsia" w:asciiTheme="minorEastAsia" w:hAnsiTheme="minorEastAsia" w:eastAsiaTheme="minorEastAsia" w:cstheme="minorEastAsia"/>
          <w:color w:val="000000"/>
          <w:spacing w:val="71"/>
          <w:sz w:val="28"/>
          <w:highlight w:val="none"/>
        </w:rPr>
        <w:t xml:space="preserve"> </w:t>
      </w:r>
      <w:r>
        <w:rPr>
          <w:rFonts w:hint="eastAsia" w:asciiTheme="minorEastAsia" w:hAnsiTheme="minorEastAsia" w:eastAsiaTheme="minorEastAsia" w:cstheme="minorEastAsia"/>
          <w:color w:val="000000"/>
          <w:spacing w:val="71"/>
          <w:sz w:val="28"/>
          <w:highlight w:val="none"/>
          <w:lang w:val="en-US" w:eastAsia="zh-CN"/>
        </w:rPr>
        <w:t>西侧种植大棚</w:t>
      </w:r>
    </w:p>
    <w:p w14:paraId="11DB708B">
      <w:pPr>
        <w:pStyle w:val="2"/>
        <w:bidi w:val="0"/>
        <w:rPr>
          <w:rFonts w:ascii="宋体"/>
          <w:color w:val="000000"/>
          <w:spacing w:val="0"/>
          <w:sz w:val="36"/>
          <w:highlight w:val="none"/>
        </w:rPr>
      </w:pPr>
      <w:bookmarkStart w:id="5" w:name="_Toc7377"/>
      <w:r>
        <w:rPr>
          <w:rFonts w:ascii="宋体" w:hAnsi="宋体" w:cs="宋体"/>
          <w:color w:val="000000"/>
          <w:spacing w:val="1"/>
          <w:sz w:val="36"/>
          <w:highlight w:val="none"/>
        </w:rPr>
        <w:t>第二章</w:t>
      </w:r>
      <w:r>
        <w:rPr>
          <w:rFonts w:ascii="Times New Roman"/>
          <w:color w:val="000000"/>
          <w:spacing w:val="89"/>
          <w:sz w:val="36"/>
          <w:highlight w:val="none"/>
        </w:rPr>
        <w:t xml:space="preserve"> </w:t>
      </w:r>
      <w:r>
        <w:rPr>
          <w:rFonts w:ascii="宋体" w:hAnsi="宋体" w:cs="宋体"/>
          <w:color w:val="000000"/>
          <w:spacing w:val="1"/>
          <w:sz w:val="36"/>
          <w:highlight w:val="none"/>
        </w:rPr>
        <w:t>相关规划分析</w:t>
      </w:r>
      <w:bookmarkEnd w:id="5"/>
    </w:p>
    <w:p w14:paraId="6866CF30">
      <w:pPr>
        <w:pStyle w:val="3"/>
        <w:keepNext/>
        <w:keepLines/>
        <w:pageBreakBefore w:val="0"/>
        <w:widowControl/>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highlight w:val="none"/>
        </w:rPr>
      </w:pPr>
      <w:bookmarkStart w:id="6" w:name="_Toc27389"/>
      <w:r>
        <w:rPr>
          <w:rFonts w:hint="eastAsia" w:asciiTheme="majorEastAsia" w:hAnsiTheme="majorEastAsia" w:eastAsiaTheme="majorEastAsia" w:cstheme="majorEastAsia"/>
          <w:highlight w:val="none"/>
          <w:lang w:val="en-US" w:eastAsia="zh-CN"/>
        </w:rPr>
        <w:t xml:space="preserve">2.1 </w:t>
      </w:r>
      <w:r>
        <w:rPr>
          <w:rFonts w:hint="eastAsia" w:asciiTheme="majorEastAsia" w:hAnsiTheme="majorEastAsia" w:eastAsiaTheme="majorEastAsia" w:cstheme="majorEastAsia"/>
          <w:highlight w:val="none"/>
        </w:rPr>
        <w:t>《尉氏县</w:t>
      </w:r>
      <w:r>
        <w:rPr>
          <w:rFonts w:hint="eastAsia" w:asciiTheme="majorEastAsia" w:hAnsiTheme="majorEastAsia" w:eastAsiaTheme="majorEastAsia" w:cstheme="majorEastAsia"/>
          <w:highlight w:val="none"/>
          <w:lang w:val="en-US" w:eastAsia="zh-CN"/>
        </w:rPr>
        <w:t>国土空间</w:t>
      </w:r>
      <w:r>
        <w:rPr>
          <w:rFonts w:hint="eastAsia" w:asciiTheme="majorEastAsia" w:hAnsiTheme="majorEastAsia" w:eastAsiaTheme="majorEastAsia" w:cstheme="majorEastAsia"/>
          <w:highlight w:val="none"/>
        </w:rPr>
        <w:t>总体规划》（20</w:t>
      </w:r>
      <w:r>
        <w:rPr>
          <w:rFonts w:hint="eastAsia" w:asciiTheme="majorEastAsia" w:hAnsiTheme="majorEastAsia" w:eastAsiaTheme="majorEastAsia" w:cstheme="majorEastAsia"/>
          <w:highlight w:val="none"/>
          <w:lang w:val="en-US" w:eastAsia="zh-CN"/>
        </w:rPr>
        <w:t>21</w:t>
      </w:r>
      <w:r>
        <w:rPr>
          <w:rFonts w:hint="eastAsia" w:asciiTheme="majorEastAsia" w:hAnsiTheme="majorEastAsia" w:eastAsiaTheme="majorEastAsia" w:cstheme="majorEastAsia"/>
          <w:highlight w:val="none"/>
        </w:rPr>
        <w:t>-2035）</w:t>
      </w:r>
      <w:bookmarkEnd w:id="6"/>
    </w:p>
    <w:p w14:paraId="463B7066">
      <w:pPr>
        <w:pStyle w:val="4"/>
        <w:bidi w:val="0"/>
        <w:rPr>
          <w:highlight w:val="none"/>
        </w:rPr>
      </w:pPr>
      <w:r>
        <w:rPr>
          <w:highlight w:val="none"/>
        </w:rPr>
        <w:t>2.1.1 规划层次及范围</w:t>
      </w:r>
    </w:p>
    <w:p w14:paraId="5D23BDDA">
      <w:pPr>
        <w:ind w:left="0" w:leftChars="0" w:firstLine="560" w:firstLineChars="200"/>
        <w:rPr>
          <w:rFonts w:hint="eastAsia"/>
          <w:highlight w:val="none"/>
        </w:rPr>
      </w:pPr>
      <w:r>
        <w:rPr>
          <w:rFonts w:hint="eastAsia"/>
          <w:highlight w:val="none"/>
          <w:lang w:val="en-US" w:eastAsia="zh-CN"/>
        </w:rPr>
        <w:t>规划区范围</w:t>
      </w:r>
      <w:r>
        <w:rPr>
          <w:rFonts w:hint="eastAsia"/>
          <w:highlight w:val="none"/>
        </w:rPr>
        <w:t>：尉氏县</w:t>
      </w:r>
      <w:r>
        <w:rPr>
          <w:rFonts w:hint="eastAsia"/>
          <w:highlight w:val="none"/>
          <w:lang w:val="en-US" w:eastAsia="zh-CN"/>
        </w:rPr>
        <w:t>国土空间</w:t>
      </w:r>
      <w:r>
        <w:rPr>
          <w:rFonts w:hint="eastAsia"/>
          <w:highlight w:val="none"/>
        </w:rPr>
        <w:t>总体规划范围为尉氏县的行政辖区</w:t>
      </w:r>
      <w:r>
        <w:rPr>
          <w:rFonts w:hint="eastAsia"/>
          <w:highlight w:val="none"/>
          <w:lang w:eastAsia="zh-CN"/>
        </w:rPr>
        <w:t>。</w:t>
      </w:r>
    </w:p>
    <w:p w14:paraId="04870FA2">
      <w:pPr>
        <w:ind w:left="0" w:leftChars="0" w:firstLine="560" w:firstLineChars="200"/>
        <w:rPr>
          <w:rFonts w:hint="eastAsia" w:cs="Times New Roman"/>
          <w:highlight w:val="none"/>
        </w:rPr>
      </w:pPr>
      <w:r>
        <w:rPr>
          <w:rFonts w:hint="eastAsia"/>
          <w:highlight w:val="none"/>
        </w:rPr>
        <w:t>规划分为县域和中心城区</w:t>
      </w:r>
      <w:r>
        <w:rPr>
          <w:rFonts w:hint="eastAsia"/>
          <w:highlight w:val="none"/>
          <w:lang w:val="en-US" w:eastAsia="zh-CN"/>
        </w:rPr>
        <w:t>两</w:t>
      </w:r>
      <w:r>
        <w:rPr>
          <w:rFonts w:hint="eastAsia"/>
          <w:highlight w:val="none"/>
        </w:rPr>
        <w:t>个层次</w:t>
      </w:r>
      <w:r>
        <w:rPr>
          <w:rFonts w:hint="eastAsia"/>
          <w:highlight w:val="none"/>
          <w:lang w:eastAsia="zh-CN"/>
        </w:rPr>
        <w:t>，</w:t>
      </w:r>
      <w:r>
        <w:rPr>
          <w:rFonts w:hint="eastAsia" w:cs="Times New Roman"/>
          <w:highlight w:val="none"/>
          <w:lang w:val="en-US" w:eastAsia="zh-CN"/>
        </w:rPr>
        <w:t>中心城区分为</w:t>
      </w:r>
      <w:r>
        <w:rPr>
          <w:rFonts w:hint="eastAsia" w:cs="Times New Roman"/>
          <w:highlight w:val="none"/>
        </w:rPr>
        <w:t>县本级</w:t>
      </w:r>
      <w:r>
        <w:rPr>
          <w:rFonts w:hint="eastAsia" w:cs="Times New Roman"/>
          <w:highlight w:val="none"/>
          <w:lang w:val="en-US" w:eastAsia="zh-CN"/>
        </w:rPr>
        <w:t>中心城区</w:t>
      </w:r>
      <w:r>
        <w:rPr>
          <w:rFonts w:hint="eastAsia" w:cs="Times New Roman"/>
          <w:highlight w:val="none"/>
        </w:rPr>
        <w:t>和临港副城尉氏片区</w:t>
      </w:r>
      <w:r>
        <w:rPr>
          <w:rFonts w:hint="eastAsia" w:cs="Times New Roman"/>
          <w:highlight w:val="none"/>
          <w:lang w:eastAsia="zh-CN"/>
        </w:rPr>
        <w:t>，</w:t>
      </w:r>
      <w:r>
        <w:rPr>
          <w:rFonts w:hint="eastAsia" w:cs="Times New Roman"/>
          <w:highlight w:val="none"/>
        </w:rPr>
        <w:t>临港副城尉氏片区</w:t>
      </w:r>
      <w:r>
        <w:rPr>
          <w:rFonts w:hint="eastAsia" w:cs="Times New Roman"/>
          <w:highlight w:val="none"/>
          <w:lang w:val="en-US" w:eastAsia="zh-CN"/>
        </w:rPr>
        <w:t>严格落实</w:t>
      </w:r>
      <w:r>
        <w:rPr>
          <w:rFonts w:hint="eastAsia" w:cs="Times New Roman"/>
          <w:highlight w:val="none"/>
        </w:rPr>
        <w:t>《郑州航空港经济综合实验区国土空间总体规划（2021-2035年）》。</w:t>
      </w:r>
    </w:p>
    <w:p w14:paraId="7F613E4E">
      <w:pPr>
        <w:ind w:left="0" w:leftChars="0" w:firstLine="560" w:firstLineChars="200"/>
        <w:rPr>
          <w:rFonts w:hint="eastAsia" w:eastAsia="宋体" w:cs="Times New Roman"/>
          <w:highlight w:val="none"/>
          <w:lang w:val="en-US" w:eastAsia="zh-CN"/>
        </w:rPr>
      </w:pPr>
      <w:r>
        <w:rPr>
          <w:rFonts w:hint="eastAsia" w:cs="Times New Roman"/>
          <w:highlight w:val="none"/>
          <w:lang w:val="en-US" w:eastAsia="zh-CN"/>
        </w:rPr>
        <w:t>城市规划区范围：</w:t>
      </w:r>
      <w:r>
        <w:rPr>
          <w:rFonts w:hint="eastAsia" w:cs="Times New Roman"/>
          <w:highlight w:val="none"/>
        </w:rPr>
        <w:t>县域规划突出全域统筹，整体谋划县域国土空间格局优化方向，划定生态保护红线、永久基本农田和城镇开发边界等控制线，明确底线管控。县域规划数据由县本级与临港副城尉氏片区求和得出</w:t>
      </w:r>
      <w:r>
        <w:rPr>
          <w:rFonts w:hint="eastAsia" w:cs="Times New Roman"/>
          <w:highlight w:val="none"/>
          <w:lang w:eastAsia="zh-CN"/>
        </w:rPr>
        <w:t>，</w:t>
      </w:r>
      <w:r>
        <w:rPr>
          <w:rFonts w:hint="eastAsia" w:cs="Times New Roman"/>
          <w:highlight w:val="none"/>
        </w:rPr>
        <w:t>县本级包含1街道1开发区7镇5乡。</w:t>
      </w:r>
      <w:r>
        <w:rPr>
          <w:rFonts w:hint="eastAsia" w:cs="Times New Roman"/>
          <w:highlight w:val="none"/>
          <w:lang w:val="en-US" w:eastAsia="zh-CN"/>
        </w:rPr>
        <w:t>县本级</w:t>
      </w:r>
      <w:r>
        <w:rPr>
          <w:rFonts w:hint="eastAsia" w:cs="Times New Roman"/>
          <w:highlight w:val="none"/>
        </w:rPr>
        <w:t>中心城区分东西两组团</w:t>
      </w:r>
      <w:r>
        <w:rPr>
          <w:rFonts w:hint="eastAsia" w:cs="Times New Roman"/>
          <w:highlight w:val="none"/>
          <w:lang w:eastAsia="zh-CN"/>
        </w:rPr>
        <w:t>，</w:t>
      </w:r>
      <w:r>
        <w:rPr>
          <w:rFonts w:hint="eastAsia" w:cs="Times New Roman"/>
          <w:highlight w:val="none"/>
        </w:rPr>
        <w:t>临港副城尉氏片区为郑州航空港经济实验区代管区域，包含2镇2乡</w:t>
      </w:r>
      <w:r>
        <w:rPr>
          <w:rFonts w:hint="eastAsia" w:cs="Times New Roman"/>
          <w:highlight w:val="none"/>
          <w:lang w:eastAsia="zh-CN"/>
        </w:rPr>
        <w:t>。</w:t>
      </w:r>
    </w:p>
    <w:p w14:paraId="4DE2319C">
      <w:pPr>
        <w:ind w:left="0" w:leftChars="0" w:firstLine="560" w:firstLineChars="200"/>
        <w:rPr>
          <w:rFonts w:hint="eastAsia" w:cs="Times New Roman"/>
          <w:highlight w:val="none"/>
        </w:rPr>
      </w:pPr>
      <w:r>
        <w:rPr>
          <w:rFonts w:hint="eastAsia" w:cs="Times New Roman"/>
          <w:highlight w:val="none"/>
          <w:lang w:val="en-US" w:eastAsia="zh-CN"/>
        </w:rPr>
        <w:t>中心城区范围：县本级</w:t>
      </w:r>
      <w:r>
        <w:rPr>
          <w:rFonts w:hint="eastAsia" w:cs="Times New Roman"/>
          <w:highlight w:val="none"/>
        </w:rPr>
        <w:t>中心城区分东西两组团。东组团（以下简称“主城区”）北至北丁庄村、邢庄村、史庄村，西至经五路、开港大道，南至南环路，东至国有林场；西组团（以下简称“先进制造业开发区（西区）”）北至北三环路，西至椅圈马村、陈村，南至福星大道，东至芦医庙村，面积约82.49平方公里。</w:t>
      </w:r>
    </w:p>
    <w:p w14:paraId="431D92FB">
      <w:pPr>
        <w:ind w:left="0" w:leftChars="0" w:firstLine="560" w:firstLineChars="200"/>
        <w:rPr>
          <w:rFonts w:hint="eastAsia" w:cs="Times New Roman"/>
          <w:highlight w:val="none"/>
          <w:lang w:val="en-US" w:eastAsia="zh-CN"/>
        </w:rPr>
      </w:pPr>
      <w:r>
        <w:rPr>
          <w:rFonts w:hint="eastAsia" w:cs="Times New Roman"/>
          <w:highlight w:val="none"/>
          <w:lang w:val="en-US" w:eastAsia="zh-CN"/>
        </w:rPr>
        <w:t>临港副城范围：临港副城尉氏片区规划由航空港经济综合实验区管委会组织编制。</w:t>
      </w:r>
    </w:p>
    <w:p w14:paraId="2B28E1C2">
      <w:pPr>
        <w:pStyle w:val="4"/>
        <w:bidi w:val="0"/>
        <w:ind w:firstLine="0"/>
        <w:rPr>
          <w:rFonts w:hint="eastAsia"/>
          <w:b/>
          <w:highlight w:val="none"/>
          <w:lang w:val="en-US" w:eastAsia="zh-CN"/>
        </w:rPr>
      </w:pPr>
      <w:r>
        <w:rPr>
          <w:rFonts w:hint="eastAsia"/>
          <w:b/>
          <w:highlight w:val="none"/>
          <w:lang w:val="en-US" w:eastAsia="zh-CN"/>
        </w:rPr>
        <w:t>2.1.2 城市性质</w:t>
      </w:r>
    </w:p>
    <w:p w14:paraId="482A7F2A">
      <w:pPr>
        <w:ind w:left="0" w:leftChars="0" w:firstLine="560" w:firstLineChars="200"/>
        <w:rPr>
          <w:rFonts w:hint="default" w:cs="Times New Roman"/>
          <w:highlight w:val="none"/>
          <w:lang w:val="en-US" w:eastAsia="zh-CN"/>
        </w:rPr>
      </w:pPr>
      <w:r>
        <w:rPr>
          <w:rFonts w:hint="eastAsia" w:cs="Times New Roman"/>
          <w:highlight w:val="none"/>
          <w:lang w:val="en-US" w:eastAsia="zh-CN"/>
        </w:rPr>
        <w:t>郑开同城化发展先行示范区；开封市副中心城市；中原城市群和郑州都市圈重要的现代综合物流、高端智能制造和大数据产业基地；宜居宜业宜游的田园都市、临港新城。</w:t>
      </w:r>
    </w:p>
    <w:p w14:paraId="396FC40A">
      <w:pPr>
        <w:pStyle w:val="4"/>
        <w:bidi w:val="0"/>
        <w:rPr>
          <w:rFonts w:hint="eastAsia"/>
          <w:highlight w:val="none"/>
          <w:lang w:val="en-US" w:eastAsia="zh-CN"/>
        </w:rPr>
      </w:pPr>
      <w:r>
        <w:rPr>
          <w:rFonts w:hint="eastAsia"/>
          <w:highlight w:val="none"/>
          <w:lang w:val="en-US" w:eastAsia="zh-CN"/>
        </w:rPr>
        <w:t>2.1.3 总体发展目标</w:t>
      </w:r>
    </w:p>
    <w:p w14:paraId="1EEF9C80">
      <w:pPr>
        <w:ind w:left="0" w:leftChars="0" w:firstLine="560" w:firstLineChars="200"/>
        <w:rPr>
          <w:rFonts w:hint="eastAsia" w:cs="Times New Roman"/>
          <w:highlight w:val="none"/>
          <w:lang w:val="en-US" w:eastAsia="zh-CN"/>
        </w:rPr>
      </w:pPr>
      <w:r>
        <w:rPr>
          <w:rFonts w:hint="eastAsia" w:cs="Times New Roman"/>
          <w:highlight w:val="none"/>
          <w:lang w:val="en-US" w:eastAsia="zh-CN"/>
        </w:rPr>
        <w:t>尉氏县国土空间发展总目标：城镇空间更优化，农业空间更高效，生态空间更美丽，经济发展质量更高，社会文明程度更高，社会治理效能更强，人民生活品质更好，建设“田园都市、临港新城”。</w:t>
      </w:r>
    </w:p>
    <w:p w14:paraId="41A9E9DC">
      <w:pPr>
        <w:ind w:left="0" w:leftChars="0" w:firstLine="562" w:firstLineChars="200"/>
        <w:rPr>
          <w:rFonts w:hint="eastAsia" w:ascii="宋体" w:hAnsi="宋体" w:eastAsia="宋体" w:cs="宋体"/>
          <w:b/>
          <w:bCs/>
          <w:szCs w:val="28"/>
        </w:rPr>
      </w:pPr>
      <w:r>
        <w:rPr>
          <w:rFonts w:hint="eastAsia" w:ascii="宋体" w:hAnsi="宋体" w:eastAsia="宋体" w:cs="宋体"/>
          <w:b/>
          <w:bCs/>
          <w:szCs w:val="28"/>
        </w:rPr>
        <w:t>2025年，都市田园更盎然，临港新城展新颜。</w:t>
      </w:r>
    </w:p>
    <w:p w14:paraId="12EA8C0F">
      <w:pPr>
        <w:ind w:left="0" w:leftChars="0" w:firstLine="562" w:firstLineChars="200"/>
        <w:rPr>
          <w:rFonts w:hint="eastAsia" w:ascii="宋体" w:hAnsi="宋体" w:eastAsia="宋体" w:cs="宋体"/>
          <w:b/>
          <w:bCs/>
          <w:szCs w:val="28"/>
        </w:rPr>
      </w:pPr>
      <w:r>
        <w:rPr>
          <w:rFonts w:hint="eastAsia" w:ascii="宋体" w:hAnsi="宋体" w:eastAsia="宋体" w:cs="宋体"/>
          <w:b/>
          <w:bCs/>
          <w:szCs w:val="28"/>
        </w:rPr>
        <w:t>2035年，基本建成“</w:t>
      </w:r>
      <w:r>
        <w:rPr>
          <w:rFonts w:hint="eastAsia" w:ascii="宋体" w:hAnsi="宋体" w:eastAsia="宋体" w:cs="宋体"/>
          <w:b/>
          <w:szCs w:val="28"/>
        </w:rPr>
        <w:t>田园都市、临港新城</w:t>
      </w:r>
      <w:r>
        <w:rPr>
          <w:rFonts w:hint="eastAsia" w:ascii="宋体" w:hAnsi="宋体" w:eastAsia="宋体" w:cs="宋体"/>
          <w:b/>
          <w:bCs/>
          <w:szCs w:val="28"/>
        </w:rPr>
        <w:t>”。</w:t>
      </w:r>
    </w:p>
    <w:p w14:paraId="001611E0">
      <w:pPr>
        <w:ind w:left="0" w:leftChars="0" w:firstLine="562" w:firstLineChars="200"/>
        <w:rPr>
          <w:rFonts w:hint="eastAsia" w:ascii="宋体" w:hAnsi="宋体" w:eastAsia="宋体" w:cs="宋体"/>
          <w:b/>
          <w:bCs/>
          <w:szCs w:val="28"/>
          <w:lang w:eastAsia="zh-CN"/>
        </w:rPr>
      </w:pPr>
      <w:r>
        <w:rPr>
          <w:rFonts w:hint="eastAsia" w:ascii="宋体" w:hAnsi="宋体" w:eastAsia="宋体" w:cs="宋体"/>
          <w:b/>
          <w:bCs/>
          <w:szCs w:val="28"/>
        </w:rPr>
        <w:t>2050年，建成与郑州都市圈一体化发展高度协同的新尉氏</w:t>
      </w:r>
      <w:r>
        <w:rPr>
          <w:rFonts w:hint="eastAsia" w:ascii="宋体" w:hAnsi="宋体" w:eastAsia="宋体" w:cs="宋体"/>
          <w:b/>
          <w:bCs/>
          <w:szCs w:val="28"/>
          <w:lang w:eastAsia="zh-CN"/>
        </w:rPr>
        <w:t>。</w:t>
      </w:r>
    </w:p>
    <w:p w14:paraId="3E0D063A">
      <w:pPr>
        <w:pStyle w:val="4"/>
        <w:bidi w:val="0"/>
        <w:ind w:firstLine="0"/>
        <w:rPr>
          <w:rFonts w:hint="default"/>
          <w:highlight w:val="none"/>
          <w:lang w:val="en-US" w:eastAsia="zh-CN"/>
        </w:rPr>
      </w:pPr>
      <w:r>
        <w:rPr>
          <w:rFonts w:hint="default"/>
          <w:highlight w:val="none"/>
          <w:lang w:val="en-US" w:eastAsia="zh-CN"/>
        </w:rPr>
        <w:t>2.1.</w:t>
      </w:r>
      <w:r>
        <w:rPr>
          <w:rFonts w:hint="eastAsia"/>
          <w:highlight w:val="none"/>
          <w:lang w:val="en-US" w:eastAsia="zh-CN"/>
        </w:rPr>
        <w:t>4</w:t>
      </w:r>
      <w:r>
        <w:rPr>
          <w:rFonts w:hint="default"/>
          <w:highlight w:val="none"/>
          <w:lang w:val="en-US" w:eastAsia="zh-CN"/>
        </w:rPr>
        <w:t xml:space="preserve"> </w:t>
      </w:r>
      <w:r>
        <w:rPr>
          <w:rFonts w:hint="eastAsia"/>
          <w:highlight w:val="none"/>
          <w:lang w:val="en-US" w:eastAsia="zh-CN"/>
        </w:rPr>
        <w:t>国土空间开发保护策略</w:t>
      </w:r>
    </w:p>
    <w:p w14:paraId="2A121AC8">
      <w:pPr>
        <w:ind w:left="0" w:leftChars="0" w:firstLine="560" w:firstLineChars="200"/>
        <w:rPr>
          <w:rFonts w:hint="eastAsia" w:cs="Times New Roman"/>
          <w:highlight w:val="none"/>
          <w:lang w:val="en-US" w:eastAsia="zh-CN"/>
        </w:rPr>
      </w:pPr>
      <w:r>
        <w:rPr>
          <w:rFonts w:hint="eastAsia" w:cs="Times New Roman"/>
          <w:highlight w:val="none"/>
          <w:lang w:val="en-US" w:eastAsia="zh-CN"/>
        </w:rPr>
        <w:t>生态保护策略：保护生态、坚持底线，依托“生态+农业”，促进生态产品价值实现。</w:t>
      </w:r>
    </w:p>
    <w:p w14:paraId="7D7B76BA">
      <w:pPr>
        <w:ind w:left="0" w:leftChars="0" w:firstLine="560" w:firstLineChars="200"/>
        <w:rPr>
          <w:rFonts w:hint="eastAsia" w:cs="Times New Roman"/>
          <w:highlight w:val="none"/>
          <w:lang w:val="en-US" w:eastAsia="zh-CN"/>
        </w:rPr>
      </w:pPr>
      <w:r>
        <w:rPr>
          <w:rFonts w:hint="eastAsia" w:cs="Times New Roman"/>
          <w:highlight w:val="none"/>
          <w:lang w:val="en-US" w:eastAsia="zh-CN"/>
        </w:rPr>
        <w:t>产业联动策略：港尉互动、三产联动，构建县域高质量发展产业新体系，激发经济活力。</w:t>
      </w:r>
    </w:p>
    <w:p w14:paraId="43AA3EF0">
      <w:pPr>
        <w:ind w:left="0" w:leftChars="0" w:firstLine="560" w:firstLineChars="200"/>
        <w:rPr>
          <w:rFonts w:hint="eastAsia" w:cs="Times New Roman"/>
          <w:highlight w:val="none"/>
          <w:lang w:val="en-US" w:eastAsia="zh-CN"/>
        </w:rPr>
      </w:pPr>
      <w:r>
        <w:rPr>
          <w:rFonts w:hint="eastAsia" w:cs="Times New Roman"/>
          <w:highlight w:val="none"/>
          <w:lang w:val="en-US" w:eastAsia="zh-CN"/>
        </w:rPr>
        <w:t>区域协调策略：开放协调、优化衔接，融入郑汴港区域交通一体化。</w:t>
      </w:r>
    </w:p>
    <w:p w14:paraId="512E072A">
      <w:pPr>
        <w:ind w:left="0" w:leftChars="0" w:firstLine="560" w:firstLineChars="200"/>
        <w:rPr>
          <w:rFonts w:hint="eastAsia" w:cs="Times New Roman"/>
          <w:highlight w:val="none"/>
          <w:lang w:val="en-US" w:eastAsia="zh-CN"/>
        </w:rPr>
      </w:pPr>
      <w:r>
        <w:rPr>
          <w:rFonts w:hint="eastAsia" w:cs="Times New Roman"/>
          <w:highlight w:val="none"/>
          <w:lang w:val="en-US" w:eastAsia="zh-CN"/>
        </w:rPr>
        <w:t>城乡融合策略：优化布局、城乡融合，实现城乡协调绿色发展新格局。</w:t>
      </w:r>
    </w:p>
    <w:p w14:paraId="7F6A0036">
      <w:pPr>
        <w:ind w:left="0" w:leftChars="0" w:firstLine="560" w:firstLineChars="200"/>
        <w:rPr>
          <w:rFonts w:hint="eastAsia" w:cs="Times New Roman"/>
          <w:highlight w:val="none"/>
          <w:lang w:val="en-US" w:eastAsia="zh-CN"/>
        </w:rPr>
      </w:pPr>
      <w:r>
        <w:rPr>
          <w:rFonts w:hint="eastAsia" w:cs="Times New Roman"/>
          <w:highlight w:val="none"/>
          <w:lang w:val="en-US" w:eastAsia="zh-CN"/>
        </w:rPr>
        <w:t>蓝绿融城、文化振兴策略：蓝绿融城、传承文化，塑造活力创新、文化休闲的生态宜居城市。</w:t>
      </w:r>
    </w:p>
    <w:p w14:paraId="55069C35">
      <w:pPr>
        <w:pStyle w:val="4"/>
        <w:bidi w:val="0"/>
        <w:ind w:firstLine="0"/>
        <w:rPr>
          <w:rFonts w:hint="default"/>
          <w:highlight w:val="none"/>
          <w:lang w:val="en-US" w:eastAsia="zh-CN"/>
        </w:rPr>
      </w:pPr>
      <w:r>
        <w:rPr>
          <w:rFonts w:hint="default"/>
          <w:highlight w:val="none"/>
          <w:lang w:val="en-US" w:eastAsia="zh-CN"/>
        </w:rPr>
        <w:t>2.1.</w:t>
      </w:r>
      <w:r>
        <w:rPr>
          <w:rFonts w:hint="eastAsia"/>
          <w:highlight w:val="none"/>
          <w:lang w:val="en-US" w:eastAsia="zh-CN"/>
        </w:rPr>
        <w:t>5</w:t>
      </w:r>
      <w:r>
        <w:rPr>
          <w:rFonts w:hint="default"/>
          <w:highlight w:val="none"/>
          <w:lang w:val="en-US" w:eastAsia="zh-CN"/>
        </w:rPr>
        <w:t xml:space="preserve"> </w:t>
      </w:r>
      <w:r>
        <w:rPr>
          <w:rFonts w:hint="eastAsia" w:ascii="宋体" w:hAnsi="宋体" w:eastAsia="宋体" w:cs="宋体"/>
          <w:b/>
          <w:bCs/>
          <w:sz w:val="30"/>
          <w:szCs w:val="30"/>
        </w:rPr>
        <w:t>统筹划定“三区三线”</w:t>
      </w:r>
    </w:p>
    <w:p w14:paraId="4F063D0B">
      <w:pPr>
        <w:ind w:left="0" w:leftChars="0" w:firstLine="560" w:firstLineChars="200"/>
        <w:rPr>
          <w:rFonts w:hint="eastAsia" w:ascii="宋体" w:hAnsi="宋体" w:eastAsia="宋体" w:cs="宋体"/>
          <w:highlight w:val="none"/>
          <w:lang w:val="en-US" w:eastAsia="zh-CN"/>
        </w:rPr>
      </w:pPr>
      <w:r>
        <w:rPr>
          <w:rFonts w:hint="eastAsia" w:ascii="宋体" w:hAnsi="宋体" w:eastAsia="宋体" w:cs="宋体"/>
          <w:szCs w:val="28"/>
        </w:rPr>
        <w:t>实行最严格的耕地保护制度，落实永久基本农田、生态保护红线和城镇开发边界三线划定成果，强化历史文化保护线、洪涝风险控制线管控。以</w:t>
      </w:r>
      <w:r>
        <w:rPr>
          <w:rFonts w:hint="eastAsia" w:ascii="宋体" w:hAnsi="宋体" w:eastAsia="宋体" w:cs="宋体"/>
          <w:szCs w:val="28"/>
          <w:lang w:eastAsia="zh-CN"/>
        </w:rPr>
        <w:t>“</w:t>
      </w:r>
      <w:r>
        <w:rPr>
          <w:rFonts w:hint="eastAsia" w:ascii="宋体" w:hAnsi="宋体" w:eastAsia="宋体" w:cs="宋体"/>
          <w:szCs w:val="28"/>
        </w:rPr>
        <w:t>三线</w:t>
      </w:r>
      <w:r>
        <w:rPr>
          <w:rFonts w:hint="eastAsia" w:ascii="宋体" w:hAnsi="宋体" w:eastAsia="宋体" w:cs="宋体"/>
          <w:szCs w:val="28"/>
          <w:lang w:eastAsia="zh-CN"/>
        </w:rPr>
        <w:t>”</w:t>
      </w:r>
      <w:r>
        <w:rPr>
          <w:rFonts w:hint="eastAsia" w:ascii="宋体" w:hAnsi="宋体" w:eastAsia="宋体" w:cs="宋体"/>
          <w:szCs w:val="28"/>
        </w:rPr>
        <w:t>为基础，统筹全域农业、生态、城镇空间，划定国土空间规划分区，构建人与自然和谐共生的</w:t>
      </w:r>
      <w:r>
        <w:rPr>
          <w:rFonts w:hint="eastAsia" w:ascii="宋体" w:hAnsi="宋体" w:eastAsia="宋体" w:cs="宋体"/>
          <w:szCs w:val="28"/>
          <w:lang w:val="en-US" w:eastAsia="zh-CN"/>
        </w:rPr>
        <w:t>县</w:t>
      </w:r>
      <w:r>
        <w:rPr>
          <w:rFonts w:hint="eastAsia" w:ascii="宋体" w:hAnsi="宋体" w:eastAsia="宋体" w:cs="宋体"/>
          <w:szCs w:val="28"/>
        </w:rPr>
        <w:t>域国土空间总体格局，推动主体功能区战略引导和细化落实。</w:t>
      </w:r>
    </w:p>
    <w:p w14:paraId="2DD72804">
      <w:pPr>
        <w:pStyle w:val="4"/>
        <w:spacing w:before="0" w:beforeLines="0" w:after="0" w:afterLines="0" w:line="596" w:lineRule="exact"/>
        <w:ind w:left="0" w:firstLine="560" w:firstLineChars="200"/>
        <w:rPr>
          <w:rFonts w:hint="eastAsia" w:ascii="宋体" w:hAnsi="宋体" w:eastAsia="宋体" w:cs="宋体"/>
          <w:b w:val="0"/>
          <w:sz w:val="28"/>
          <w:szCs w:val="28"/>
          <w:lang w:val="en-US" w:eastAsia="zh-CN" w:bidi="ar-SA"/>
        </w:rPr>
      </w:pPr>
      <w:r>
        <w:rPr>
          <w:rFonts w:hint="eastAsia" w:ascii="宋体" w:hAnsi="宋体" w:eastAsia="宋体" w:cs="宋体"/>
          <w:b w:val="0"/>
          <w:bCs w:val="0"/>
          <w:sz w:val="28"/>
          <w:szCs w:val="28"/>
        </w:rPr>
        <w:t>科学划定</w:t>
      </w:r>
      <w:r>
        <w:rPr>
          <w:rFonts w:hint="eastAsia" w:ascii="宋体" w:hAnsi="宋体" w:eastAsia="宋体" w:cs="宋体"/>
          <w:b w:val="0"/>
          <w:bCs w:val="0"/>
          <w:sz w:val="28"/>
          <w:szCs w:val="28"/>
          <w:lang w:val="en-US" w:eastAsia="zh-CN"/>
        </w:rPr>
        <w:t>耕地和</w:t>
      </w:r>
      <w:r>
        <w:rPr>
          <w:rFonts w:hint="eastAsia" w:ascii="宋体" w:hAnsi="宋体" w:eastAsia="宋体" w:cs="宋体"/>
          <w:b w:val="0"/>
          <w:bCs w:val="0"/>
          <w:sz w:val="28"/>
          <w:szCs w:val="28"/>
        </w:rPr>
        <w:t>永久基本农田</w:t>
      </w:r>
      <w:r>
        <w:rPr>
          <w:rFonts w:hint="eastAsia" w:ascii="宋体" w:hAnsi="宋体" w:eastAsia="宋体" w:cs="宋体"/>
          <w:b w:val="0"/>
          <w:sz w:val="28"/>
          <w:szCs w:val="28"/>
          <w:lang w:val="en-US" w:eastAsia="zh-CN" w:bidi="ar-SA"/>
        </w:rPr>
        <w:t>：落实并细化市级国土空间规划确定的尉氏县耕地和永久基本农田保护目标任务，规划期内尉氏县耕地保有量不低于82617.98公顷（123.93万亩），实际划定耕地面积82617.98公顷（123.93万亩）。尉氏县永久基本农田保护目标不低于67739.67公顷（101.61万亩），实际划定永久基本农田面积67739.67公顷（101.61万亩）。其中县本级耕地保有量不低于64224.09公顷（96.34万亩），实际划定耕地面积64224.09公顷（96.34万亩）。县本级永久基本农田保护目标不低于59705.25公顷（89.56万亩），实际划定永久基本农田面积59705.25公顷（89.56万亩）。</w:t>
      </w:r>
    </w:p>
    <w:p w14:paraId="36EE36F6">
      <w:pPr>
        <w:pStyle w:val="4"/>
        <w:spacing w:before="0" w:beforeLines="0" w:after="0" w:afterLines="0" w:line="596" w:lineRule="exact"/>
        <w:ind w:left="0" w:firstLine="560" w:firstLineChars="200"/>
        <w:rPr>
          <w:rFonts w:hint="eastAsia" w:ascii="宋体" w:hAnsi="宋体" w:eastAsia="宋体" w:cs="宋体"/>
          <w:b w:val="0"/>
          <w:sz w:val="28"/>
          <w:szCs w:val="28"/>
          <w:lang w:val="en-US" w:eastAsia="zh-CN" w:bidi="ar-SA"/>
        </w:rPr>
      </w:pPr>
      <w:r>
        <w:rPr>
          <w:rFonts w:hint="eastAsia" w:ascii="宋体" w:hAnsi="宋体" w:eastAsia="宋体" w:cs="宋体"/>
          <w:b w:val="0"/>
          <w:sz w:val="28"/>
          <w:szCs w:val="28"/>
          <w:lang w:val="en-US" w:eastAsia="zh-CN" w:bidi="ar-SA"/>
        </w:rPr>
        <w:t>优先划定生态保护红线：尉氏县划定生态保护红线面积为448.57公顷</w:t>
      </w:r>
      <w:r>
        <w:rPr>
          <w:rFonts w:hint="eastAsia" w:ascii="宋体" w:hAnsi="宋体" w:cs="宋体"/>
          <w:b w:val="0"/>
          <w:sz w:val="28"/>
          <w:szCs w:val="28"/>
          <w:lang w:val="en-US" w:eastAsia="zh-CN" w:bidi="ar-SA"/>
        </w:rPr>
        <w:t>。</w:t>
      </w:r>
    </w:p>
    <w:p w14:paraId="02C96E48">
      <w:pPr>
        <w:ind w:left="0" w:leftChars="0" w:firstLine="560" w:firstLineChars="200"/>
        <w:rPr>
          <w:rFonts w:hint="eastAsia" w:ascii="宋体" w:hAnsi="宋体" w:eastAsia="宋体" w:cs="宋体"/>
          <w:b w:val="0"/>
          <w:sz w:val="28"/>
          <w:szCs w:val="28"/>
          <w:lang w:val="en-US" w:eastAsia="zh-CN" w:bidi="ar-SA"/>
        </w:rPr>
      </w:pPr>
      <w:r>
        <w:rPr>
          <w:rFonts w:hint="eastAsia" w:ascii="宋体" w:hAnsi="宋体" w:eastAsia="宋体" w:cs="宋体"/>
          <w:b w:val="0"/>
          <w:sz w:val="28"/>
          <w:szCs w:val="28"/>
          <w:lang w:val="en-US" w:eastAsia="zh-CN" w:bidi="ar-SA"/>
        </w:rPr>
        <w:t>合理划定城镇开发边界：本次城镇开发边界划定总面积为17822.05公顷，</w:t>
      </w:r>
      <w:r>
        <w:rPr>
          <w:rFonts w:hint="eastAsia" w:ascii="宋体" w:hAnsi="宋体" w:eastAsia="宋体" w:cs="宋体"/>
          <w:szCs w:val="28"/>
        </w:rPr>
        <w:t>全部为城镇集中建设区；</w:t>
      </w:r>
      <w:r>
        <w:rPr>
          <w:rFonts w:hint="eastAsia" w:ascii="宋体" w:hAnsi="宋体" w:eastAsia="宋体" w:cs="宋体"/>
          <w:b w:val="0"/>
          <w:sz w:val="28"/>
          <w:szCs w:val="28"/>
          <w:lang w:val="en-US" w:eastAsia="zh-CN" w:bidi="ar-SA"/>
        </w:rPr>
        <w:t>其中郑州航空港经济综合实验区代管区域城镇开发边界面积为12907.90公顷，尉氏县本级城镇开发边界面积为4914.15公顷（49.14平方公里），县本级城镇开发边界扩展倍数为1.24。</w:t>
      </w:r>
    </w:p>
    <w:p w14:paraId="7E1FFA2D">
      <w:pPr>
        <w:pStyle w:val="4"/>
        <w:bidi w:val="0"/>
        <w:ind w:firstLine="0"/>
        <w:rPr>
          <w:rFonts w:hint="default"/>
          <w:highlight w:val="none"/>
          <w:lang w:val="en-US" w:eastAsia="zh-CN"/>
        </w:rPr>
      </w:pPr>
      <w:r>
        <w:rPr>
          <w:rFonts w:hint="default"/>
          <w:highlight w:val="none"/>
          <w:lang w:val="en-US" w:eastAsia="zh-CN"/>
        </w:rPr>
        <w:t>2.1.</w:t>
      </w:r>
      <w:r>
        <w:rPr>
          <w:rFonts w:hint="eastAsia"/>
          <w:highlight w:val="none"/>
          <w:lang w:val="en-US" w:eastAsia="zh-CN"/>
        </w:rPr>
        <w:t>6</w:t>
      </w:r>
      <w:r>
        <w:rPr>
          <w:rFonts w:hint="default"/>
          <w:highlight w:val="none"/>
          <w:lang w:val="en-US" w:eastAsia="zh-CN"/>
        </w:rPr>
        <w:t xml:space="preserve"> </w:t>
      </w:r>
      <w:r>
        <w:rPr>
          <w:rFonts w:hint="eastAsia"/>
          <w:highlight w:val="none"/>
          <w:lang w:val="en-US" w:eastAsia="zh-CN"/>
        </w:rPr>
        <w:t>国土空间总体格局</w:t>
      </w:r>
    </w:p>
    <w:p w14:paraId="1E03042B">
      <w:pPr>
        <w:ind w:left="0" w:leftChars="0" w:firstLine="560" w:firstLineChars="200"/>
        <w:rPr>
          <w:rFonts w:hint="default" w:cs="Times New Roman"/>
          <w:highlight w:val="none"/>
          <w:lang w:val="en-US" w:eastAsia="zh-CN"/>
        </w:rPr>
      </w:pPr>
      <w:r>
        <w:rPr>
          <w:rFonts w:hint="eastAsia" w:cs="Times New Roman"/>
          <w:highlight w:val="none"/>
          <w:lang w:val="en-US" w:eastAsia="zh-CN"/>
        </w:rPr>
        <w:t>以资源环境承载能力和国土空间开发适宜性评价为基础，统筹生态、农业、城镇三大空间，推动形成分区分类保护和集聚开发相适应的“一带两轴，双核三区”国土空间保护开发总体格局，支撑尉氏县经济社会高质量发展。</w:t>
      </w:r>
    </w:p>
    <w:p w14:paraId="5CEF13CB">
      <w:pPr>
        <w:ind w:left="0" w:leftChars="0" w:firstLine="562" w:firstLineChars="200"/>
        <w:rPr>
          <w:rFonts w:hint="eastAsia" w:ascii="宋体" w:hAnsi="宋体" w:eastAsia="宋体" w:cs="宋体"/>
          <w:szCs w:val="28"/>
        </w:rPr>
      </w:pPr>
      <w:r>
        <w:rPr>
          <w:rFonts w:hint="eastAsia" w:ascii="宋体" w:hAnsi="宋体" w:eastAsia="宋体" w:cs="宋体"/>
          <w:b/>
          <w:bCs/>
          <w:szCs w:val="28"/>
        </w:rPr>
        <w:t>“一带”即贾鲁河生态农旅发展带。</w:t>
      </w:r>
      <w:r>
        <w:rPr>
          <w:rFonts w:hint="eastAsia" w:ascii="宋体" w:hAnsi="宋体" w:eastAsia="宋体" w:cs="宋体"/>
          <w:szCs w:val="28"/>
        </w:rPr>
        <w:t>以贾鲁河省级森林公园为载体，强化生态保护红线保护，守住生态环境安全底线。</w:t>
      </w:r>
    </w:p>
    <w:p w14:paraId="552048D2">
      <w:pPr>
        <w:ind w:left="0" w:leftChars="0" w:firstLine="562" w:firstLineChars="200"/>
        <w:rPr>
          <w:rFonts w:hint="eastAsia" w:ascii="宋体" w:hAnsi="宋体" w:eastAsia="宋体" w:cs="宋体"/>
          <w:szCs w:val="28"/>
        </w:rPr>
      </w:pPr>
      <w:r>
        <w:rPr>
          <w:rFonts w:hint="eastAsia" w:ascii="宋体" w:hAnsi="宋体" w:eastAsia="宋体" w:cs="宋体"/>
          <w:b/>
          <w:bCs/>
          <w:szCs w:val="28"/>
        </w:rPr>
        <w:t>“两轴”即尉港协同发展轴和开港城镇发展轴。</w:t>
      </w:r>
      <w:r>
        <w:rPr>
          <w:rFonts w:hint="eastAsia" w:ascii="宋体" w:hAnsi="宋体" w:eastAsia="宋体" w:cs="宋体"/>
          <w:szCs w:val="28"/>
        </w:rPr>
        <w:t>尉港协同发展轴是沿S102、连接尉氏</w:t>
      </w:r>
      <w:r>
        <w:rPr>
          <w:rFonts w:hint="eastAsia" w:ascii="宋体" w:hAnsi="宋体" w:eastAsia="宋体" w:cs="宋体"/>
          <w:szCs w:val="28"/>
          <w:lang w:val="en-US" w:eastAsia="zh-CN"/>
        </w:rPr>
        <w:t>县</w:t>
      </w:r>
      <w:r>
        <w:rPr>
          <w:rFonts w:hint="eastAsia" w:ascii="宋体" w:hAnsi="宋体" w:eastAsia="宋体" w:cs="宋体"/>
          <w:szCs w:val="28"/>
        </w:rPr>
        <w:t>中心城区和临港副城尉氏片区的东西向发展轴，沿线连通主城区、临港副城尉氏片区、先进制造业开发区、贾鲁河农旅发展带和十八里镇政府驻地等区域，是郑州航空港经济综合实验区核心区和协同区的连接轴，也是尉氏县融入航空港经济综合实验区，产业协同发展的样板区域；开港城镇发展轴是沿开港大道、G240，连接开封市区与尉氏</w:t>
      </w:r>
      <w:r>
        <w:rPr>
          <w:rFonts w:hint="eastAsia" w:ascii="宋体" w:hAnsi="宋体" w:eastAsia="宋体" w:cs="宋体"/>
          <w:szCs w:val="28"/>
          <w:lang w:val="en-US" w:eastAsia="zh-CN"/>
        </w:rPr>
        <w:t>县</w:t>
      </w:r>
      <w:r>
        <w:rPr>
          <w:rFonts w:hint="eastAsia" w:ascii="宋体" w:hAnsi="宋体" w:eastAsia="宋体" w:cs="宋体"/>
          <w:szCs w:val="28"/>
        </w:rPr>
        <w:t>中心城区的南北向城镇发展轴，沿线连通尉氏</w:t>
      </w:r>
      <w:r>
        <w:rPr>
          <w:rFonts w:hint="eastAsia" w:ascii="宋体" w:hAnsi="宋体" w:eastAsia="宋体" w:cs="宋体"/>
          <w:szCs w:val="28"/>
          <w:lang w:val="en-US" w:eastAsia="zh-CN"/>
        </w:rPr>
        <w:t>县</w:t>
      </w:r>
      <w:r>
        <w:rPr>
          <w:rFonts w:hint="eastAsia" w:ascii="宋体" w:hAnsi="宋体" w:eastAsia="宋体" w:cs="宋体"/>
          <w:szCs w:val="28"/>
        </w:rPr>
        <w:t>中心城区、尉北科技食品工业园区、循环经济产业园、洧川镇政府驻地、门楼任乡政府驻地等区域，贯穿六大片区中的城北片区，重点发展现代物流产业，是开港经济区的主要发展轴线和延伸，也是尉氏县和临港副城尉氏片区城乡协同发展的样板区域。</w:t>
      </w:r>
    </w:p>
    <w:p w14:paraId="6B7F5E05">
      <w:pPr>
        <w:keepNext w:val="0"/>
        <w:keepLines w:val="0"/>
        <w:pageBreakBefore w:val="0"/>
        <w:widowControl w:val="0"/>
        <w:kinsoku/>
        <w:wordWrap/>
        <w:overflowPunct/>
        <w:topLinePunct w:val="0"/>
        <w:autoSpaceDE/>
        <w:autoSpaceDN/>
        <w:bidi w:val="0"/>
        <w:adjustRightInd/>
        <w:snapToGrid/>
        <w:spacing w:before="0" w:beforeLines="0" w:after="0" w:afterLines="0" w:line="596" w:lineRule="exact"/>
        <w:ind w:firstLine="643"/>
        <w:jc w:val="both"/>
        <w:textAlignment w:val="auto"/>
        <w:rPr>
          <w:rFonts w:hint="eastAsia" w:ascii="宋体" w:hAnsi="宋体" w:eastAsia="宋体" w:cs="宋体"/>
          <w:szCs w:val="28"/>
        </w:rPr>
      </w:pPr>
      <w:r>
        <w:rPr>
          <w:rFonts w:hint="eastAsia" w:ascii="宋体" w:hAnsi="宋体" w:eastAsia="宋体" w:cs="宋体"/>
          <w:b/>
          <w:bCs/>
          <w:szCs w:val="28"/>
        </w:rPr>
        <w:t>“双核”即尉氏县主城区和</w:t>
      </w:r>
      <w:bookmarkStart w:id="7" w:name="_Hlk155864717"/>
      <w:r>
        <w:rPr>
          <w:rFonts w:hint="eastAsia" w:ascii="宋体" w:hAnsi="宋体" w:eastAsia="宋体" w:cs="宋体"/>
          <w:b/>
          <w:bCs/>
          <w:szCs w:val="28"/>
        </w:rPr>
        <w:t>临港副城城区（尉氏片区</w:t>
      </w:r>
      <w:bookmarkEnd w:id="7"/>
      <w:r>
        <w:rPr>
          <w:rFonts w:hint="eastAsia" w:ascii="宋体" w:hAnsi="宋体" w:eastAsia="宋体" w:cs="宋体"/>
          <w:b/>
          <w:bCs/>
          <w:szCs w:val="28"/>
        </w:rPr>
        <w:t>）。</w:t>
      </w:r>
      <w:r>
        <w:rPr>
          <w:rFonts w:hint="eastAsia" w:ascii="宋体" w:hAnsi="宋体" w:eastAsia="宋体" w:cs="宋体"/>
          <w:szCs w:val="28"/>
        </w:rPr>
        <w:t>尉氏县主城区是</w:t>
      </w:r>
      <w:r>
        <w:rPr>
          <w:rFonts w:hint="eastAsia" w:ascii="宋体" w:hAnsi="宋体" w:eastAsia="宋体" w:cs="宋体"/>
          <w:szCs w:val="28"/>
          <w:lang w:val="en-US" w:eastAsia="zh-CN"/>
        </w:rPr>
        <w:t>尉氏县</w:t>
      </w:r>
      <w:r>
        <w:rPr>
          <w:rFonts w:hint="eastAsia" w:ascii="宋体" w:hAnsi="宋体" w:eastAsia="宋体" w:cs="宋体"/>
          <w:szCs w:val="28"/>
        </w:rPr>
        <w:t>政治、经济和文化中心，是郑州航空港经济综合实验区协同区（东部）的中心，致力于建成郑开同城化、郑汴许一体化、郑州航空港“三核驱动”的现代化枢纽新城。临港副城尉氏片区中心城区是郑州航空港经济综合实验区核心区的尉氏</w:t>
      </w:r>
      <w:r>
        <w:rPr>
          <w:rFonts w:hint="eastAsia" w:ascii="宋体" w:hAnsi="宋体" w:eastAsia="宋体" w:cs="宋体"/>
          <w:szCs w:val="28"/>
          <w:lang w:val="en-US" w:eastAsia="zh-CN"/>
        </w:rPr>
        <w:t>县</w:t>
      </w:r>
      <w:r>
        <w:rPr>
          <w:rFonts w:hint="eastAsia" w:ascii="宋体" w:hAnsi="宋体" w:eastAsia="宋体" w:cs="宋体"/>
          <w:szCs w:val="28"/>
        </w:rPr>
        <w:t>部分，致力于建成“现代化、国际化、世界级物流枢纽”、“中原经济区和郑州都市圈核心增长极”、制度型开放“中原特区”。</w:t>
      </w:r>
    </w:p>
    <w:p w14:paraId="07A8BE43">
      <w:pPr>
        <w:ind w:left="0" w:leftChars="0" w:firstLine="562" w:firstLineChars="200"/>
        <w:rPr>
          <w:rFonts w:hint="eastAsia" w:ascii="宋体" w:hAnsi="宋体" w:eastAsia="宋体" w:cs="宋体"/>
          <w:szCs w:val="28"/>
        </w:rPr>
      </w:pPr>
      <w:r>
        <w:rPr>
          <w:rFonts w:hint="eastAsia" w:ascii="宋体" w:hAnsi="宋体" w:eastAsia="宋体" w:cs="宋体"/>
          <w:b/>
          <w:bCs/>
          <w:szCs w:val="28"/>
        </w:rPr>
        <w:t>“三区”即中心城区、临港副城发展区和高效田园发展区。</w:t>
      </w:r>
      <w:r>
        <w:rPr>
          <w:rFonts w:hint="eastAsia" w:ascii="宋体" w:hAnsi="宋体" w:eastAsia="宋体" w:cs="宋体"/>
          <w:szCs w:val="28"/>
        </w:rPr>
        <w:t>中心城区主要包括主城区和先进制造业开发区及周边区域，是尉氏县六大发展片区中五大片区的承载地，五大片区为中心片区、开发区片区、城西片区、城南片区和城东片区，</w:t>
      </w:r>
      <w:r>
        <w:rPr>
          <w:rFonts w:hint="eastAsia" w:ascii="宋体" w:hAnsi="宋体" w:eastAsia="宋体" w:cs="宋体"/>
          <w:b w:val="0"/>
          <w:bCs w:val="0"/>
          <w:szCs w:val="28"/>
        </w:rPr>
        <w:t>其中中心片区（开港大道至建设路，北康沟河至福星大道）以城市双修、城市更新、城市提质为主导；开发区片区（开港大道至</w:t>
      </w:r>
      <w:r>
        <w:rPr>
          <w:rFonts w:hint="eastAsia" w:ascii="宋体" w:hAnsi="宋体" w:eastAsia="宋体" w:cs="宋体"/>
          <w:szCs w:val="28"/>
        </w:rPr>
        <w:t>航空港经济综合实验区</w:t>
      </w:r>
      <w:r>
        <w:rPr>
          <w:rFonts w:hint="eastAsia" w:ascii="宋体" w:hAnsi="宋体" w:eastAsia="宋体" w:cs="宋体"/>
          <w:b w:val="0"/>
          <w:bCs w:val="0"/>
          <w:szCs w:val="28"/>
        </w:rPr>
        <w:t>）以双碳双百产业园、高端制造产业为主导；城西片区（西三环至开港大道）以城市中央商务区、现代服务业为主导；城南片区（福星大道至新商铁路）以棉纺橡胶产业为主导，是科创走廊的延伸；城东片区（建设路至贾</w:t>
      </w:r>
      <w:r>
        <w:rPr>
          <w:rFonts w:hint="eastAsia" w:ascii="宋体" w:hAnsi="宋体" w:eastAsia="宋体" w:cs="宋体"/>
          <w:szCs w:val="28"/>
        </w:rPr>
        <w:t>鲁河）以都市田园综合体、生态文旅产业为主导。临港副城发展区位于尉氏县西部，包括洧川镇、岗李乡、大马乡和大营乡西部等区域，主要发展电子信息产业、半导体、新能源、生物医药、航空制造等产业。高效田园发展区，是中心城区和临港副城尉氏片区以外的区域，主要是瞄准郑州都市圈对优质农产品和都市农业的巨大需求，重点发展都市农业、绿色农业和有机农业，加快乡村振兴战略实施步伐。</w:t>
      </w:r>
    </w:p>
    <w:p w14:paraId="538D30B4">
      <w:pPr>
        <w:ind w:left="0" w:leftChars="0" w:firstLine="560" w:firstLineChars="200"/>
        <w:rPr>
          <w:rFonts w:hint="eastAsia" w:ascii="宋体" w:hAnsi="宋体" w:eastAsia="宋体" w:cs="宋体"/>
          <w:szCs w:val="28"/>
          <w:lang w:val="en-US" w:eastAsia="zh-CN"/>
        </w:rPr>
      </w:pPr>
    </w:p>
    <w:p w14:paraId="04967EBF">
      <w:pPr>
        <w:ind w:left="0" w:leftChars="0" w:firstLine="560" w:firstLineChars="200"/>
        <w:rPr>
          <w:rFonts w:hint="default"/>
          <w:highlight w:val="none"/>
          <w:lang w:val="en-US" w:eastAsia="zh-CN"/>
        </w:rPr>
      </w:pPr>
      <w:r>
        <w:rPr>
          <w:rFonts w:hint="default"/>
          <w:highlight w:val="none"/>
          <w:lang w:val="en-US" w:eastAsia="zh-CN"/>
        </w:rPr>
        <w:drawing>
          <wp:inline distT="0" distB="0" distL="114300" distR="114300">
            <wp:extent cx="5260340" cy="3721735"/>
            <wp:effectExtent l="0" t="0" r="16510" b="12065"/>
            <wp:docPr id="4" name="图片 4" descr="410223尉氏县23中心城区土地使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10223尉氏县23中心城区土地使用规划图"/>
                    <pic:cNvPicPr>
                      <a:picLocks noChangeAspect="1"/>
                    </pic:cNvPicPr>
                  </pic:nvPicPr>
                  <pic:blipFill>
                    <a:blip r:embed="rId13"/>
                    <a:stretch>
                      <a:fillRect/>
                    </a:stretch>
                  </pic:blipFill>
                  <pic:spPr>
                    <a:xfrm>
                      <a:off x="0" y="0"/>
                      <a:ext cx="5260340" cy="3721735"/>
                    </a:xfrm>
                    <a:prstGeom prst="rect">
                      <a:avLst/>
                    </a:prstGeom>
                  </pic:spPr>
                </pic:pic>
              </a:graphicData>
            </a:graphic>
          </wp:inline>
        </w:drawing>
      </w:r>
    </w:p>
    <w:p w14:paraId="4DB15C24">
      <w:pPr>
        <w:ind w:left="0" w:leftChars="0" w:firstLine="480" w:firstLineChars="200"/>
        <w:jc w:val="center"/>
        <w:rPr>
          <w:rFonts w:hint="eastAsia" w:ascii="宋体" w:hAnsi="宋体" w:eastAsia="宋体" w:cs="宋体"/>
          <w:color w:val="000000"/>
          <w:spacing w:val="0"/>
          <w:sz w:val="24"/>
          <w:szCs w:val="24"/>
          <w:highlight w:val="none"/>
        </w:rPr>
      </w:pPr>
      <w:r>
        <w:rPr>
          <w:rFonts w:hint="eastAsia" w:ascii="宋体" w:hAnsi="宋体" w:eastAsia="宋体" w:cs="宋体"/>
          <w:color w:val="000000"/>
          <w:spacing w:val="0"/>
          <w:sz w:val="24"/>
          <w:szCs w:val="24"/>
          <w:highlight w:val="none"/>
        </w:rPr>
        <w:t>图 2-1</w:t>
      </w:r>
      <w:r>
        <w:rPr>
          <w:rFonts w:hint="eastAsia" w:ascii="宋体" w:hAnsi="宋体" w:eastAsia="宋体" w:cs="宋体"/>
          <w:color w:val="000000"/>
          <w:spacing w:val="71"/>
          <w:sz w:val="24"/>
          <w:szCs w:val="24"/>
          <w:highlight w:val="none"/>
        </w:rPr>
        <w:t xml:space="preserve"> </w:t>
      </w:r>
      <w:r>
        <w:rPr>
          <w:rFonts w:hint="eastAsia" w:ascii="宋体" w:hAnsi="宋体" w:eastAsia="宋体" w:cs="宋体"/>
          <w:color w:val="000000"/>
          <w:spacing w:val="0"/>
          <w:sz w:val="24"/>
          <w:szCs w:val="24"/>
          <w:highlight w:val="none"/>
        </w:rPr>
        <w:t>尉氏县</w:t>
      </w:r>
      <w:r>
        <w:rPr>
          <w:rFonts w:hint="eastAsia" w:ascii="宋体" w:hAnsi="宋体" w:eastAsia="宋体" w:cs="宋体"/>
          <w:color w:val="000000"/>
          <w:spacing w:val="0"/>
          <w:sz w:val="24"/>
          <w:szCs w:val="24"/>
          <w:highlight w:val="none"/>
          <w:lang w:val="en-US" w:eastAsia="zh-CN"/>
        </w:rPr>
        <w:t>国土空间</w:t>
      </w:r>
      <w:r>
        <w:rPr>
          <w:rFonts w:hint="eastAsia" w:ascii="宋体" w:hAnsi="宋体" w:eastAsia="宋体" w:cs="宋体"/>
          <w:color w:val="000000"/>
          <w:spacing w:val="0"/>
          <w:sz w:val="24"/>
          <w:szCs w:val="24"/>
          <w:highlight w:val="none"/>
        </w:rPr>
        <w:t>总体规划(20</w:t>
      </w:r>
      <w:r>
        <w:rPr>
          <w:rFonts w:hint="eastAsia" w:ascii="宋体" w:hAnsi="宋体" w:eastAsia="宋体" w:cs="宋体"/>
          <w:color w:val="000000"/>
          <w:spacing w:val="0"/>
          <w:sz w:val="24"/>
          <w:szCs w:val="24"/>
          <w:highlight w:val="none"/>
          <w:lang w:val="en-US" w:eastAsia="zh-CN"/>
        </w:rPr>
        <w:t>21</w:t>
      </w:r>
      <w:r>
        <w:rPr>
          <w:rFonts w:hint="eastAsia" w:ascii="宋体" w:hAnsi="宋体" w:eastAsia="宋体" w:cs="宋体"/>
          <w:color w:val="000000"/>
          <w:spacing w:val="0"/>
          <w:sz w:val="24"/>
          <w:szCs w:val="24"/>
          <w:highlight w:val="none"/>
        </w:rPr>
        <w:t>-203</w:t>
      </w:r>
      <w:r>
        <w:rPr>
          <w:rFonts w:hint="eastAsia" w:ascii="宋体" w:hAnsi="宋体" w:eastAsia="宋体" w:cs="宋体"/>
          <w:color w:val="000000"/>
          <w:spacing w:val="0"/>
          <w:sz w:val="24"/>
          <w:szCs w:val="24"/>
          <w:highlight w:val="none"/>
          <w:lang w:val="en-US" w:eastAsia="zh-CN"/>
        </w:rPr>
        <w:t>5</w:t>
      </w:r>
      <w:r>
        <w:rPr>
          <w:rFonts w:hint="eastAsia" w:ascii="宋体" w:hAnsi="宋体" w:eastAsia="宋体" w:cs="宋体"/>
          <w:color w:val="000000"/>
          <w:spacing w:val="0"/>
          <w:sz w:val="24"/>
          <w:szCs w:val="24"/>
          <w:highlight w:val="none"/>
        </w:rPr>
        <w:t>)中心城区用地规划图</w:t>
      </w:r>
    </w:p>
    <w:p w14:paraId="7C7845F4">
      <w:pPr>
        <w:pStyle w:val="4"/>
        <w:bidi w:val="0"/>
        <w:ind w:firstLine="0"/>
        <w:rPr>
          <w:rFonts w:hint="default"/>
          <w:b/>
          <w:highlight w:val="none"/>
          <w:lang w:val="en-US" w:eastAsia="zh-CN"/>
        </w:rPr>
      </w:pPr>
      <w:r>
        <w:rPr>
          <w:rFonts w:hint="eastAsia"/>
          <w:b/>
          <w:highlight w:val="none"/>
          <w:lang w:val="en-US" w:eastAsia="zh-CN"/>
        </w:rPr>
        <w:t>2.1.7 优化城镇空间、支撑新型城镇化</w:t>
      </w:r>
    </w:p>
    <w:p w14:paraId="7CDE8F7D">
      <w:pPr>
        <w:spacing w:before="0" w:beforeLines="0" w:after="0" w:afterLines="0" w:line="596" w:lineRule="exact"/>
        <w:ind w:firstLine="640"/>
        <w:jc w:val="both"/>
        <w:rPr>
          <w:rFonts w:hint="eastAsia" w:ascii="宋体" w:hAnsi="宋体" w:eastAsia="宋体" w:cs="宋体"/>
          <w:sz w:val="28"/>
          <w:szCs w:val="28"/>
        </w:rPr>
      </w:pPr>
      <w:r>
        <w:rPr>
          <w:rFonts w:hint="eastAsia" w:ascii="宋体" w:hAnsi="宋体" w:cs="宋体"/>
          <w:b/>
          <w:bCs/>
          <w:sz w:val="28"/>
          <w:szCs w:val="28"/>
          <w:lang w:val="en-US" w:eastAsia="zh-CN"/>
        </w:rPr>
        <w:t>科学预测人口规模与城镇化水平</w:t>
      </w:r>
      <w:r>
        <w:rPr>
          <w:rFonts w:hint="eastAsia" w:ascii="宋体" w:hAnsi="宋体" w:cs="宋体"/>
          <w:sz w:val="28"/>
          <w:szCs w:val="28"/>
          <w:lang w:val="en-US" w:eastAsia="zh-CN"/>
        </w:rPr>
        <w:t>：</w:t>
      </w:r>
      <w:r>
        <w:rPr>
          <w:rFonts w:hint="eastAsia" w:ascii="宋体" w:hAnsi="宋体" w:eastAsia="宋体" w:cs="宋体"/>
          <w:sz w:val="28"/>
          <w:szCs w:val="28"/>
        </w:rPr>
        <w:t>县本级人口规模为2025年常住人口74.28万人，2035年常住人口83.00万人。</w:t>
      </w:r>
    </w:p>
    <w:p w14:paraId="05F824AB">
      <w:pPr>
        <w:spacing w:before="0" w:beforeLines="0" w:after="0" w:afterLines="0" w:line="596" w:lineRule="exact"/>
        <w:ind w:firstLine="640"/>
        <w:jc w:val="both"/>
        <w:rPr>
          <w:rFonts w:hint="eastAsia" w:ascii="宋体" w:hAnsi="宋体" w:eastAsia="宋体" w:cs="宋体"/>
          <w:sz w:val="28"/>
          <w:szCs w:val="28"/>
        </w:rPr>
      </w:pPr>
      <w:r>
        <w:rPr>
          <w:rFonts w:hint="eastAsia" w:ascii="宋体" w:hAnsi="宋体" w:eastAsia="宋体" w:cs="宋体"/>
          <w:sz w:val="28"/>
          <w:szCs w:val="28"/>
        </w:rPr>
        <w:t>县域人口规模为2025年县域常住人口不少于124.28万人，其中临港副城尉氏片区不少于50万人；2035年县域常住人口不少于223万人，其中临港副城尉氏片区人口规模不少于140万人（临港副城尉氏片区数据来源于《郑州航空港经济综合实验区国土空间总体规划（2021-2035年）》）。</w:t>
      </w:r>
    </w:p>
    <w:p w14:paraId="01F860D4">
      <w:pPr>
        <w:spacing w:before="0" w:beforeLines="0" w:after="0" w:afterLines="0" w:line="596" w:lineRule="exact"/>
        <w:ind w:firstLine="640"/>
        <w:jc w:val="both"/>
        <w:rPr>
          <w:rFonts w:hint="eastAsia" w:ascii="宋体" w:hAnsi="宋体" w:eastAsia="宋体" w:cs="宋体"/>
          <w:sz w:val="28"/>
          <w:szCs w:val="28"/>
        </w:rPr>
      </w:pPr>
      <w:r>
        <w:rPr>
          <w:rFonts w:hint="eastAsia" w:ascii="宋体" w:hAnsi="宋体" w:eastAsia="宋体" w:cs="宋体"/>
          <w:sz w:val="28"/>
          <w:szCs w:val="28"/>
        </w:rPr>
        <w:t>中心城区人口规模为2025年31.69万人， 2035年43.69万人。</w:t>
      </w:r>
    </w:p>
    <w:p w14:paraId="2AD1AEDE">
      <w:pPr>
        <w:spacing w:before="0" w:beforeLines="0" w:after="0" w:afterLines="0" w:line="596" w:lineRule="exact"/>
        <w:ind w:firstLine="640"/>
        <w:jc w:val="both"/>
        <w:rPr>
          <w:rFonts w:hint="eastAsia" w:ascii="宋体" w:hAnsi="宋体" w:eastAsia="宋体" w:cs="宋体"/>
          <w:sz w:val="28"/>
          <w:szCs w:val="28"/>
        </w:rPr>
      </w:pPr>
      <w:r>
        <w:rPr>
          <w:rFonts w:hint="eastAsia" w:ascii="宋体" w:hAnsi="宋体" w:eastAsia="宋体" w:cs="宋体"/>
          <w:sz w:val="28"/>
          <w:szCs w:val="28"/>
        </w:rPr>
        <w:t>县本级城镇化目标2025年为59.43%，2035年为65.00%。</w:t>
      </w:r>
    </w:p>
    <w:p w14:paraId="40A1122E">
      <w:pPr>
        <w:ind w:left="0" w:leftChars="0" w:firstLine="560" w:firstLineChars="200"/>
        <w:jc w:val="both"/>
        <w:rPr>
          <w:rFonts w:hint="eastAsia" w:ascii="宋体" w:hAnsi="宋体" w:eastAsia="宋体" w:cs="宋体"/>
          <w:sz w:val="28"/>
          <w:szCs w:val="28"/>
        </w:rPr>
      </w:pPr>
      <w:r>
        <w:rPr>
          <w:rFonts w:hint="eastAsia" w:ascii="宋体" w:hAnsi="宋体" w:eastAsia="宋体" w:cs="宋体"/>
          <w:sz w:val="28"/>
          <w:szCs w:val="28"/>
        </w:rPr>
        <w:t>县域城镇化目标2025年不少于56%，2035年不少于80%。</w:t>
      </w:r>
    </w:p>
    <w:p w14:paraId="49B57865">
      <w:pPr>
        <w:pageBreakBefore w:val="0"/>
        <w:widowControl w:val="0"/>
        <w:kinsoku/>
        <w:wordWrap/>
        <w:overflowPunct/>
        <w:topLinePunct w:val="0"/>
        <w:autoSpaceDE/>
        <w:autoSpaceDN/>
        <w:bidi w:val="0"/>
        <w:adjustRightInd/>
        <w:snapToGrid/>
        <w:spacing w:before="0" w:beforeLines="0" w:after="0" w:afterLines="0" w:line="596" w:lineRule="exact"/>
        <w:ind w:firstLine="640"/>
        <w:jc w:val="both"/>
        <w:textAlignment w:val="auto"/>
        <w:rPr>
          <w:rFonts w:hint="eastAsia" w:ascii="宋体" w:hAnsi="宋体" w:eastAsia="宋体" w:cs="宋体"/>
          <w:szCs w:val="28"/>
        </w:rPr>
      </w:pPr>
      <w:r>
        <w:rPr>
          <w:rFonts w:hint="eastAsia" w:ascii="宋体" w:hAnsi="宋体" w:eastAsia="宋体" w:cs="宋体"/>
          <w:b/>
          <w:bCs/>
          <w:sz w:val="28"/>
          <w:szCs w:val="28"/>
          <w:lang w:val="en-US" w:eastAsia="zh-CN" w:bidi="ar-SA"/>
        </w:rPr>
        <w:t>构建多层次、组团式、网络化、集约型城镇格局：</w:t>
      </w:r>
      <w:r>
        <w:rPr>
          <w:rFonts w:hint="eastAsia" w:ascii="宋体" w:hAnsi="宋体" w:eastAsia="宋体" w:cs="宋体"/>
          <w:szCs w:val="28"/>
        </w:rPr>
        <w:t>尉氏县呈现“两核两轴，两点三区”的城镇空间格局。</w:t>
      </w:r>
    </w:p>
    <w:p w14:paraId="7D46CB7E">
      <w:pPr>
        <w:pageBreakBefore w:val="0"/>
        <w:widowControl w:val="0"/>
        <w:kinsoku/>
        <w:wordWrap/>
        <w:overflowPunct/>
        <w:topLinePunct w:val="0"/>
        <w:autoSpaceDE/>
        <w:autoSpaceDN/>
        <w:bidi w:val="0"/>
        <w:adjustRightInd/>
        <w:snapToGrid/>
        <w:spacing w:before="0" w:beforeLines="0" w:after="0" w:afterLines="0" w:line="596" w:lineRule="exact"/>
        <w:ind w:firstLine="640"/>
        <w:jc w:val="both"/>
        <w:textAlignment w:val="auto"/>
        <w:rPr>
          <w:rFonts w:hint="eastAsia" w:ascii="宋体" w:hAnsi="宋体" w:eastAsia="宋体" w:cs="宋体"/>
          <w:b/>
          <w:bCs/>
          <w:szCs w:val="28"/>
        </w:rPr>
      </w:pPr>
      <w:r>
        <w:rPr>
          <w:rFonts w:hint="eastAsia" w:ascii="宋体" w:hAnsi="宋体" w:eastAsia="宋体" w:cs="宋体"/>
          <w:b/>
          <w:bCs/>
          <w:szCs w:val="28"/>
        </w:rPr>
        <w:t>“两核”为中心城区核和临港副城尉氏片区核。</w:t>
      </w:r>
      <w:r>
        <w:rPr>
          <w:rFonts w:hint="eastAsia" w:ascii="宋体" w:hAnsi="宋体" w:eastAsia="宋体" w:cs="宋体"/>
          <w:szCs w:val="28"/>
        </w:rPr>
        <w:t>中心城区核包括主城区、</w:t>
      </w:r>
      <w:r>
        <w:rPr>
          <w:rFonts w:hint="eastAsia" w:ascii="宋体" w:hAnsi="宋体" w:eastAsia="宋体" w:cs="宋体"/>
          <w:szCs w:val="28"/>
          <w:lang w:val="en-US" w:eastAsia="zh-CN"/>
        </w:rPr>
        <w:t>先进制造业</w:t>
      </w:r>
      <w:r>
        <w:rPr>
          <w:rFonts w:hint="eastAsia" w:ascii="宋体" w:hAnsi="宋体" w:eastAsia="宋体" w:cs="宋体"/>
          <w:szCs w:val="28"/>
        </w:rPr>
        <w:t>开发区</w:t>
      </w:r>
      <w:r>
        <w:rPr>
          <w:rFonts w:hint="eastAsia" w:ascii="宋体" w:hAnsi="宋体" w:eastAsia="宋体" w:cs="宋体"/>
          <w:szCs w:val="28"/>
          <w:lang w:eastAsia="zh-CN"/>
        </w:rPr>
        <w:t>（</w:t>
      </w:r>
      <w:r>
        <w:rPr>
          <w:rFonts w:hint="eastAsia" w:ascii="宋体" w:hAnsi="宋体" w:eastAsia="宋体" w:cs="宋体"/>
          <w:szCs w:val="28"/>
        </w:rPr>
        <w:t>东区</w:t>
      </w:r>
      <w:r>
        <w:rPr>
          <w:rFonts w:hint="eastAsia" w:ascii="宋体" w:hAnsi="宋体" w:eastAsia="宋体" w:cs="宋体"/>
          <w:szCs w:val="28"/>
          <w:lang w:eastAsia="zh-CN"/>
        </w:rPr>
        <w:t>）</w:t>
      </w:r>
      <w:r>
        <w:rPr>
          <w:rFonts w:hint="eastAsia" w:ascii="宋体" w:hAnsi="宋体" w:eastAsia="宋体" w:cs="宋体"/>
          <w:szCs w:val="28"/>
        </w:rPr>
        <w:t>和</w:t>
      </w:r>
      <w:r>
        <w:rPr>
          <w:rFonts w:hint="eastAsia" w:ascii="宋体" w:hAnsi="宋体" w:eastAsia="宋体" w:cs="宋体"/>
          <w:szCs w:val="28"/>
          <w:lang w:val="en-US" w:eastAsia="zh-CN"/>
        </w:rPr>
        <w:t>先进制造业</w:t>
      </w:r>
      <w:r>
        <w:rPr>
          <w:rFonts w:hint="eastAsia" w:ascii="宋体" w:hAnsi="宋体" w:eastAsia="宋体" w:cs="宋体"/>
          <w:szCs w:val="28"/>
        </w:rPr>
        <w:t>开发区</w:t>
      </w:r>
      <w:r>
        <w:rPr>
          <w:rFonts w:hint="eastAsia" w:ascii="宋体" w:hAnsi="宋体" w:eastAsia="宋体" w:cs="宋体"/>
          <w:szCs w:val="28"/>
          <w:lang w:eastAsia="zh-CN"/>
        </w:rPr>
        <w:t>（</w:t>
      </w:r>
      <w:r>
        <w:rPr>
          <w:rFonts w:hint="eastAsia" w:ascii="宋体" w:hAnsi="宋体" w:eastAsia="宋体" w:cs="宋体"/>
          <w:szCs w:val="28"/>
        </w:rPr>
        <w:t>西区</w:t>
      </w:r>
      <w:r>
        <w:rPr>
          <w:rFonts w:hint="eastAsia" w:ascii="宋体" w:hAnsi="宋体" w:eastAsia="宋体" w:cs="宋体"/>
          <w:szCs w:val="28"/>
          <w:lang w:eastAsia="zh-CN"/>
        </w:rPr>
        <w:t>）</w:t>
      </w:r>
      <w:r>
        <w:rPr>
          <w:rFonts w:hint="eastAsia" w:ascii="宋体" w:hAnsi="宋体" w:eastAsia="宋体" w:cs="宋体"/>
          <w:szCs w:val="28"/>
        </w:rPr>
        <w:t>，是尉氏县城市发展的核心区域；临港副城尉氏片区核包括岗李乡、大营镇、大马乡、洧川镇，是尉氏县西融郑州航空港经济综合实验区的桥头堡。</w:t>
      </w:r>
    </w:p>
    <w:p w14:paraId="33370252">
      <w:pPr>
        <w:pageBreakBefore w:val="0"/>
        <w:widowControl w:val="0"/>
        <w:kinsoku/>
        <w:wordWrap/>
        <w:overflowPunct/>
        <w:topLinePunct w:val="0"/>
        <w:autoSpaceDE/>
        <w:autoSpaceDN/>
        <w:bidi w:val="0"/>
        <w:adjustRightInd/>
        <w:snapToGrid/>
        <w:spacing w:before="0" w:beforeLines="0" w:after="0" w:afterLines="0" w:line="596" w:lineRule="exact"/>
        <w:ind w:firstLine="640"/>
        <w:jc w:val="both"/>
        <w:textAlignment w:val="auto"/>
        <w:rPr>
          <w:rFonts w:hint="eastAsia" w:ascii="宋体" w:hAnsi="宋体" w:eastAsia="宋体" w:cs="宋体"/>
          <w:b/>
          <w:szCs w:val="28"/>
        </w:rPr>
      </w:pPr>
      <w:r>
        <w:rPr>
          <w:rFonts w:hint="eastAsia" w:ascii="宋体" w:hAnsi="宋体" w:eastAsia="宋体" w:cs="宋体"/>
          <w:b/>
          <w:szCs w:val="28"/>
        </w:rPr>
        <w:t>“两轴”</w:t>
      </w:r>
      <w:r>
        <w:rPr>
          <w:rFonts w:hint="eastAsia" w:ascii="宋体" w:hAnsi="宋体" w:eastAsia="宋体" w:cs="宋体"/>
          <w:b/>
          <w:bCs/>
          <w:szCs w:val="28"/>
        </w:rPr>
        <w:t>为</w:t>
      </w:r>
      <w:r>
        <w:rPr>
          <w:rFonts w:hint="eastAsia" w:ascii="宋体" w:hAnsi="宋体" w:eastAsia="宋体" w:cs="宋体"/>
          <w:b/>
          <w:szCs w:val="28"/>
        </w:rPr>
        <w:t>郑尉发展轴和汴尉发展轴。</w:t>
      </w:r>
      <w:r>
        <w:rPr>
          <w:rFonts w:hint="eastAsia" w:ascii="宋体" w:hAnsi="宋体" w:eastAsia="宋体" w:cs="宋体"/>
          <w:szCs w:val="28"/>
        </w:rPr>
        <w:t>郑尉发展轴，自西向东串联中心城区、张市镇和永兴镇，形成尉氏县西融郑州航空港经济综合实验区的东西向发展轴；汴尉发展轴，自南向北串联朱曲镇、门楼任乡、中心城区和庄头镇，形成尉氏县北接开封</w:t>
      </w:r>
      <w:r>
        <w:rPr>
          <w:rFonts w:hint="eastAsia" w:ascii="宋体" w:hAnsi="宋体" w:eastAsia="宋体" w:cs="宋体"/>
          <w:sz w:val="32"/>
          <w:szCs w:val="28"/>
          <w:lang w:val="en-US" w:eastAsia="zh-CN"/>
        </w:rPr>
        <w:t>市</w:t>
      </w:r>
      <w:r>
        <w:rPr>
          <w:rFonts w:hint="eastAsia" w:ascii="宋体" w:hAnsi="宋体" w:eastAsia="宋体" w:cs="宋体"/>
          <w:szCs w:val="28"/>
        </w:rPr>
        <w:t>，南连许昌</w:t>
      </w:r>
      <w:r>
        <w:rPr>
          <w:rFonts w:hint="eastAsia" w:ascii="宋体" w:hAnsi="宋体" w:eastAsia="宋体" w:cs="宋体"/>
          <w:sz w:val="32"/>
          <w:szCs w:val="28"/>
          <w:lang w:val="en-US" w:eastAsia="zh-CN"/>
        </w:rPr>
        <w:t>市</w:t>
      </w:r>
      <w:r>
        <w:rPr>
          <w:rFonts w:hint="eastAsia" w:ascii="宋体" w:hAnsi="宋体" w:eastAsia="宋体" w:cs="宋体"/>
          <w:szCs w:val="28"/>
        </w:rPr>
        <w:t>、长葛</w:t>
      </w:r>
      <w:r>
        <w:rPr>
          <w:rFonts w:hint="eastAsia" w:ascii="宋体" w:hAnsi="宋体" w:eastAsia="宋体" w:cs="宋体"/>
          <w:sz w:val="32"/>
          <w:szCs w:val="28"/>
          <w:lang w:val="en-US" w:eastAsia="zh-CN"/>
        </w:rPr>
        <w:t>市</w:t>
      </w:r>
      <w:r>
        <w:rPr>
          <w:rFonts w:hint="eastAsia" w:ascii="宋体" w:hAnsi="宋体" w:eastAsia="宋体" w:cs="宋体"/>
          <w:szCs w:val="28"/>
        </w:rPr>
        <w:t>的南北发展轴。</w:t>
      </w:r>
    </w:p>
    <w:p w14:paraId="22366EFA">
      <w:pPr>
        <w:pageBreakBefore w:val="0"/>
        <w:widowControl w:val="0"/>
        <w:kinsoku/>
        <w:wordWrap/>
        <w:overflowPunct/>
        <w:topLinePunct w:val="0"/>
        <w:autoSpaceDE/>
        <w:autoSpaceDN/>
        <w:bidi w:val="0"/>
        <w:adjustRightInd/>
        <w:snapToGrid/>
        <w:spacing w:before="0" w:beforeLines="0" w:after="0" w:afterLines="0" w:line="596" w:lineRule="exact"/>
        <w:ind w:firstLine="640"/>
        <w:jc w:val="both"/>
        <w:textAlignment w:val="auto"/>
        <w:rPr>
          <w:rFonts w:hint="eastAsia" w:ascii="宋体" w:hAnsi="宋体" w:eastAsia="宋体" w:cs="宋体"/>
          <w:bCs/>
          <w:szCs w:val="28"/>
        </w:rPr>
      </w:pPr>
      <w:r>
        <w:rPr>
          <w:rFonts w:hint="eastAsia" w:ascii="宋体" w:hAnsi="宋体" w:eastAsia="宋体" w:cs="宋体"/>
          <w:b/>
          <w:bCs/>
          <w:szCs w:val="28"/>
        </w:rPr>
        <w:t>“两点”为两个重点镇。</w:t>
      </w:r>
      <w:r>
        <w:rPr>
          <w:rFonts w:hint="eastAsia" w:ascii="宋体" w:hAnsi="宋体" w:eastAsia="宋体" w:cs="宋体"/>
          <w:bCs/>
          <w:szCs w:val="28"/>
        </w:rPr>
        <w:t>包括洧川镇和永兴镇。</w:t>
      </w:r>
    </w:p>
    <w:p w14:paraId="47AB2A9B">
      <w:pPr>
        <w:pageBreakBefore w:val="0"/>
        <w:widowControl w:val="0"/>
        <w:kinsoku/>
        <w:wordWrap/>
        <w:overflowPunct/>
        <w:topLinePunct w:val="0"/>
        <w:autoSpaceDE/>
        <w:autoSpaceDN/>
        <w:bidi w:val="0"/>
        <w:adjustRightInd/>
        <w:snapToGrid/>
        <w:spacing w:before="0" w:beforeLines="0" w:after="0" w:afterLines="0" w:line="596" w:lineRule="exact"/>
        <w:ind w:firstLine="640"/>
        <w:jc w:val="both"/>
        <w:textAlignment w:val="auto"/>
        <w:rPr>
          <w:rFonts w:hint="eastAsia" w:ascii="宋体" w:hAnsi="宋体" w:eastAsia="宋体" w:cs="宋体"/>
          <w:sz w:val="28"/>
          <w:szCs w:val="28"/>
        </w:rPr>
      </w:pPr>
      <w:r>
        <w:rPr>
          <w:rFonts w:hint="eastAsia" w:ascii="宋体" w:hAnsi="宋体" w:eastAsia="宋体" w:cs="宋体"/>
          <w:b/>
          <w:bCs/>
          <w:szCs w:val="28"/>
        </w:rPr>
        <w:t>“三区”为中部城镇优化发展区、西部临港发展区和东部生态</w:t>
      </w:r>
      <w:r>
        <w:rPr>
          <w:rFonts w:ascii="Times New Roman" w:hAnsi="Times New Roman" w:eastAsia="仿宋_GB2312" w:cs="Times New Roman"/>
          <w:b/>
          <w:bCs/>
          <w:szCs w:val="28"/>
        </w:rPr>
        <w:t>发展区。</w:t>
      </w:r>
    </w:p>
    <w:p w14:paraId="6C207A65">
      <w:pPr>
        <w:pStyle w:val="4"/>
        <w:bidi w:val="0"/>
        <w:ind w:firstLine="0"/>
        <w:rPr>
          <w:rFonts w:hint="eastAsia"/>
          <w:b/>
          <w:highlight w:val="none"/>
          <w:lang w:val="en-US" w:eastAsia="zh-CN"/>
        </w:rPr>
      </w:pPr>
      <w:r>
        <w:rPr>
          <w:rFonts w:hint="eastAsia"/>
          <w:b/>
          <w:highlight w:val="none"/>
          <w:lang w:val="en-US" w:eastAsia="zh-CN"/>
        </w:rPr>
        <w:t>2.1.8 城市规模</w:t>
      </w:r>
    </w:p>
    <w:p w14:paraId="600BABEA">
      <w:pPr>
        <w:pageBreakBefore w:val="0"/>
        <w:widowControl w:val="0"/>
        <w:kinsoku/>
        <w:wordWrap/>
        <w:overflowPunct/>
        <w:topLinePunct w:val="0"/>
        <w:autoSpaceDE/>
        <w:autoSpaceDN/>
        <w:bidi w:val="0"/>
        <w:adjustRightInd/>
        <w:snapToGrid/>
        <w:spacing w:before="0" w:beforeLines="0" w:after="0" w:afterLines="0" w:line="596" w:lineRule="exact"/>
        <w:ind w:firstLine="640"/>
        <w:jc w:val="both"/>
        <w:textAlignment w:val="auto"/>
        <w:rPr>
          <w:rFonts w:hint="default"/>
          <w:highlight w:val="green"/>
          <w:lang w:val="en-US" w:eastAsia="zh-CN"/>
        </w:rPr>
      </w:pPr>
      <w:r>
        <w:rPr>
          <w:rFonts w:hint="eastAsia" w:ascii="宋体" w:hAnsi="宋体" w:eastAsia="宋体" w:cs="宋体"/>
          <w:szCs w:val="28"/>
          <w:highlight w:val="none"/>
        </w:rPr>
        <w:t>近期规划建设年限为2020-2025年，2025年尉氏县中心城区人口规模为31.69万人，规划城市建设用地面积为30.02km</w:t>
      </w:r>
      <w:r>
        <w:rPr>
          <w:rFonts w:hint="eastAsia" w:ascii="宋体" w:hAnsi="宋体" w:eastAsia="宋体" w:cs="宋体"/>
          <w:szCs w:val="28"/>
          <w:highlight w:val="none"/>
          <w:vertAlign w:val="superscript"/>
        </w:rPr>
        <w:t>2</w:t>
      </w:r>
      <w:r>
        <w:rPr>
          <w:rFonts w:hint="eastAsia" w:ascii="宋体" w:hAnsi="宋体" w:eastAsia="宋体" w:cs="宋体"/>
          <w:szCs w:val="28"/>
          <w:highlight w:val="none"/>
        </w:rPr>
        <w:t>，人均城市建设用地为94.72</w:t>
      </w:r>
      <m:oMath>
        <m:sSup>
          <m:sSupPr>
            <m:ctrlPr>
              <w:rPr>
                <w:rFonts w:hint="eastAsia" w:ascii="Cambria Math" w:hAnsi="Cambria Math" w:eastAsia="宋体" w:cs="宋体"/>
                <w:szCs w:val="28"/>
                <w:highlight w:val="none"/>
              </w:rPr>
            </m:ctrlPr>
          </m:sSupPr>
          <m:e>
            <m:r>
              <m:rPr>
                <m:sty m:val="p"/>
              </m:rPr>
              <w:rPr>
                <w:rFonts w:hint="eastAsia" w:ascii="Cambria Math" w:hAnsi="Cambria Math" w:eastAsia="宋体" w:cs="宋体"/>
                <w:szCs w:val="28"/>
                <w:highlight w:val="none"/>
              </w:rPr>
              <m:t>m</m:t>
            </m:r>
            <m:ctrlPr>
              <w:rPr>
                <w:rFonts w:hint="eastAsia" w:ascii="Cambria Math" w:hAnsi="Cambria Math" w:eastAsia="宋体" w:cs="宋体"/>
                <w:szCs w:val="28"/>
                <w:highlight w:val="none"/>
              </w:rPr>
            </m:ctrlPr>
          </m:e>
          <m:sup>
            <m:r>
              <m:rPr>
                <m:sty m:val="p"/>
              </m:rPr>
              <w:rPr>
                <w:rFonts w:hint="eastAsia" w:ascii="Cambria Math" w:hAnsi="Cambria Math" w:eastAsia="宋体" w:cs="宋体"/>
                <w:szCs w:val="28"/>
                <w:highlight w:val="none"/>
              </w:rPr>
              <m:t>2</m:t>
            </m:r>
            <m:ctrlPr>
              <w:rPr>
                <w:rFonts w:hint="eastAsia" w:ascii="Cambria Math" w:hAnsi="Cambria Math" w:eastAsia="宋体" w:cs="宋体"/>
                <w:szCs w:val="28"/>
                <w:highlight w:val="none"/>
              </w:rPr>
            </m:ctrlPr>
          </m:sup>
        </m:sSup>
      </m:oMath>
      <w:r>
        <w:rPr>
          <w:rFonts w:hint="eastAsia" w:ascii="宋体" w:hAnsi="宋体" w:eastAsia="宋体" w:cs="宋体"/>
          <w:szCs w:val="28"/>
          <w:highlight w:val="none"/>
        </w:rPr>
        <w:t>。</w:t>
      </w:r>
    </w:p>
    <w:p w14:paraId="73908BD1">
      <w:pPr>
        <w:pStyle w:val="3"/>
        <w:keepNext/>
        <w:keepLines/>
        <w:pageBreakBefore w:val="0"/>
        <w:widowControl/>
        <w:kinsoku/>
        <w:wordWrap/>
        <w:overflowPunct/>
        <w:topLinePunct w:val="0"/>
        <w:autoSpaceDE/>
        <w:autoSpaceDN/>
        <w:bidi w:val="0"/>
        <w:adjustRightInd/>
        <w:snapToGrid/>
        <w:spacing w:line="360" w:lineRule="auto"/>
        <w:ind w:firstLine="0"/>
        <w:textAlignment w:val="auto"/>
        <w:rPr>
          <w:rFonts w:hint="default" w:asciiTheme="majorEastAsia" w:hAnsiTheme="majorEastAsia" w:eastAsiaTheme="majorEastAsia" w:cstheme="majorEastAsia"/>
          <w:highlight w:val="none"/>
          <w:lang w:val="en-US" w:eastAsia="zh-CN"/>
        </w:rPr>
      </w:pPr>
      <w:bookmarkStart w:id="8" w:name="_Toc16178"/>
      <w:r>
        <w:rPr>
          <w:rFonts w:hint="default" w:asciiTheme="majorEastAsia" w:hAnsiTheme="majorEastAsia" w:eastAsiaTheme="majorEastAsia" w:cstheme="majorEastAsia"/>
          <w:highlight w:val="none"/>
          <w:lang w:val="en-US" w:eastAsia="zh-CN"/>
        </w:rPr>
        <w:t xml:space="preserve">2.2 </w:t>
      </w:r>
      <w:r>
        <w:rPr>
          <w:rFonts w:hint="eastAsia" w:asciiTheme="majorEastAsia" w:hAnsiTheme="majorEastAsia" w:eastAsiaTheme="majorEastAsia" w:cstheme="majorEastAsia"/>
          <w:highlight w:val="none"/>
          <w:lang w:val="en-US" w:eastAsia="zh-CN"/>
        </w:rPr>
        <w:t>尉政土【2021】42号地块</w:t>
      </w:r>
      <w:r>
        <w:rPr>
          <w:rFonts w:hint="default" w:asciiTheme="majorEastAsia" w:hAnsiTheme="majorEastAsia" w:eastAsiaTheme="majorEastAsia" w:cstheme="majorEastAsia"/>
          <w:highlight w:val="none"/>
          <w:lang w:val="en-US" w:eastAsia="zh-CN"/>
        </w:rPr>
        <w:t>控制性详细规划</w:t>
      </w:r>
      <w:bookmarkEnd w:id="8"/>
    </w:p>
    <w:p w14:paraId="025D0CE7">
      <w:pPr>
        <w:pStyle w:val="4"/>
        <w:bidi w:val="0"/>
        <w:rPr>
          <w:rFonts w:ascii="宋体"/>
          <w:color w:val="000000"/>
          <w:spacing w:val="0"/>
          <w:sz w:val="28"/>
          <w:highlight w:val="none"/>
        </w:rPr>
      </w:pPr>
      <w:r>
        <w:rPr>
          <w:rFonts w:ascii="VFATQQ+TimesNewRomanPSMT"/>
          <w:color w:val="000000"/>
          <w:spacing w:val="0"/>
          <w:sz w:val="28"/>
          <w:highlight w:val="none"/>
        </w:rPr>
        <w:t>2.2.1</w:t>
      </w:r>
      <w:r>
        <w:rPr>
          <w:rFonts w:ascii="Times New Roman"/>
          <w:color w:val="000000"/>
          <w:spacing w:val="-1"/>
          <w:sz w:val="28"/>
          <w:highlight w:val="none"/>
        </w:rPr>
        <w:t xml:space="preserve"> </w:t>
      </w:r>
      <w:r>
        <w:rPr>
          <w:rFonts w:ascii="宋体" w:hAnsi="宋体" w:cs="宋体"/>
          <w:color w:val="000000"/>
          <w:spacing w:val="0"/>
          <w:sz w:val="28"/>
          <w:highlight w:val="none"/>
        </w:rPr>
        <w:t>用地性质</w:t>
      </w:r>
    </w:p>
    <w:p w14:paraId="6D4545A7">
      <w:pPr>
        <w:rPr>
          <w:rFonts w:hint="default"/>
          <w:highlight w:val="none"/>
          <w:lang w:val="en-US" w:eastAsia="zh-CN"/>
        </w:rPr>
      </w:pPr>
      <w:r>
        <w:rPr>
          <w:rFonts w:hint="default"/>
          <w:highlight w:val="none"/>
          <w:lang w:val="en-US" w:eastAsia="zh-CN"/>
        </w:rPr>
        <w:t>地块用地性质为</w:t>
      </w:r>
      <w:r>
        <w:rPr>
          <w:rFonts w:hint="eastAsia"/>
          <w:highlight w:val="none"/>
          <w:lang w:val="en-US" w:eastAsia="zh-CN"/>
        </w:rPr>
        <w:t>公用设施营业网点</w:t>
      </w:r>
      <w:r>
        <w:rPr>
          <w:rFonts w:hint="default"/>
          <w:highlight w:val="none"/>
          <w:lang w:val="en-US" w:eastAsia="zh-CN"/>
        </w:rPr>
        <w:t>用地。</w:t>
      </w:r>
    </w:p>
    <w:p w14:paraId="520C525A">
      <w:pPr>
        <w:pStyle w:val="4"/>
        <w:bidi w:val="0"/>
        <w:ind w:firstLine="0"/>
        <w:rPr>
          <w:rFonts w:hint="default"/>
          <w:highlight w:val="none"/>
          <w:lang w:val="en-US" w:eastAsia="zh-CN"/>
        </w:rPr>
      </w:pPr>
      <w:r>
        <w:rPr>
          <w:rFonts w:hint="default"/>
          <w:highlight w:val="none"/>
          <w:lang w:val="en-US" w:eastAsia="zh-CN"/>
        </w:rPr>
        <w:t>2.2.2 开发强度控制</w:t>
      </w:r>
    </w:p>
    <w:p w14:paraId="0331F3A8">
      <w:pPr>
        <w:rPr>
          <w:rFonts w:hint="default"/>
          <w:highlight w:val="none"/>
          <w:lang w:val="en-US" w:eastAsia="zh-CN"/>
        </w:rPr>
      </w:pPr>
      <w:r>
        <w:rPr>
          <w:rFonts w:hint="default"/>
          <w:highlight w:val="none"/>
          <w:lang w:val="en-US" w:eastAsia="zh-CN"/>
        </w:rPr>
        <w:t>以科学利用、合理利用、集约利用土地为原则，根据规划区用地的区位条件、环境承载力等控制条件，确定容积率和建筑密度。</w:t>
      </w:r>
    </w:p>
    <w:p w14:paraId="64BB12AD">
      <w:pPr>
        <w:ind w:left="0" w:leftChars="0" w:firstLine="560" w:firstLineChars="200"/>
        <w:rPr>
          <w:rFonts w:hint="default"/>
          <w:highlight w:val="none"/>
          <w:lang w:val="en-US" w:eastAsia="zh-CN"/>
        </w:rPr>
      </w:pPr>
      <w:r>
        <w:rPr>
          <w:rFonts w:hint="default"/>
          <w:highlight w:val="none"/>
          <w:lang w:val="en-US" w:eastAsia="zh-CN"/>
        </w:rPr>
        <w:t>本次规划区内 A-01 地块的容积率控制为≤1.</w:t>
      </w:r>
      <w:r>
        <w:rPr>
          <w:rFonts w:hint="eastAsia"/>
          <w:highlight w:val="none"/>
          <w:lang w:val="en-US" w:eastAsia="zh-CN"/>
        </w:rPr>
        <w:t>0</w:t>
      </w:r>
      <w:r>
        <w:rPr>
          <w:rFonts w:hint="default"/>
          <w:highlight w:val="none"/>
          <w:lang w:val="en-US" w:eastAsia="zh-CN"/>
        </w:rPr>
        <w:t>，建筑密度≤</w:t>
      </w:r>
      <w:r>
        <w:rPr>
          <w:rFonts w:hint="eastAsia"/>
          <w:highlight w:val="none"/>
          <w:lang w:val="en-US" w:eastAsia="zh-CN"/>
        </w:rPr>
        <w:t>25</w:t>
      </w:r>
      <w:r>
        <w:rPr>
          <w:rFonts w:hint="default"/>
          <w:highlight w:val="none"/>
          <w:lang w:val="en-US" w:eastAsia="zh-CN"/>
        </w:rPr>
        <w:t>%。</w:t>
      </w:r>
    </w:p>
    <w:p w14:paraId="58CBA24B">
      <w:pPr>
        <w:pStyle w:val="4"/>
        <w:bidi w:val="0"/>
        <w:rPr>
          <w:rFonts w:hint="default"/>
          <w:highlight w:val="none"/>
          <w:lang w:val="en-US" w:eastAsia="zh-CN"/>
        </w:rPr>
      </w:pPr>
      <w:r>
        <w:rPr>
          <w:rFonts w:hint="default"/>
          <w:highlight w:val="none"/>
          <w:lang w:val="en-US" w:eastAsia="zh-CN"/>
        </w:rPr>
        <w:t>2.2.3 建筑限高</w:t>
      </w:r>
    </w:p>
    <w:p w14:paraId="3CABB882">
      <w:pPr>
        <w:ind w:left="0" w:leftChars="0" w:firstLine="560" w:firstLineChars="200"/>
        <w:rPr>
          <w:rFonts w:hint="default"/>
          <w:highlight w:val="none"/>
          <w:lang w:val="en-US" w:eastAsia="zh-CN"/>
        </w:rPr>
      </w:pPr>
      <w:r>
        <w:rPr>
          <w:rFonts w:hint="default"/>
          <w:highlight w:val="none"/>
          <w:lang w:val="en-US" w:eastAsia="zh-CN"/>
        </w:rPr>
        <w:t>A-01 地块建筑限高控制为≤24米。</w:t>
      </w:r>
    </w:p>
    <w:p w14:paraId="7984ADF4">
      <w:pPr>
        <w:pStyle w:val="4"/>
        <w:bidi w:val="0"/>
        <w:rPr>
          <w:rFonts w:hint="default"/>
          <w:highlight w:val="none"/>
          <w:lang w:val="en-US" w:eastAsia="zh-CN"/>
        </w:rPr>
      </w:pPr>
      <w:r>
        <w:rPr>
          <w:rFonts w:hint="default"/>
          <w:highlight w:val="none"/>
          <w:lang w:val="en-US" w:eastAsia="zh-CN"/>
        </w:rPr>
        <w:t>2.2.4 建筑间距控制</w:t>
      </w:r>
    </w:p>
    <w:p w14:paraId="1042D62A">
      <w:pPr>
        <w:ind w:left="0" w:leftChars="0" w:firstLine="560" w:firstLineChars="200"/>
        <w:rPr>
          <w:rFonts w:hint="default"/>
          <w:highlight w:val="none"/>
          <w:lang w:val="en-US" w:eastAsia="zh-CN"/>
        </w:rPr>
      </w:pPr>
      <w:r>
        <w:rPr>
          <w:rFonts w:hint="default"/>
          <w:highlight w:val="none"/>
          <w:lang w:val="en-US" w:eastAsia="zh-CN"/>
        </w:rPr>
        <w:t>建筑间距的规定包括建筑正面间距、侧向间距等。</w:t>
      </w:r>
    </w:p>
    <w:p w14:paraId="6BA258E9">
      <w:pPr>
        <w:ind w:left="0" w:leftChars="0" w:firstLine="560" w:firstLineChars="200"/>
        <w:rPr>
          <w:rFonts w:hint="default"/>
          <w:highlight w:val="none"/>
          <w:lang w:val="en-US" w:eastAsia="zh-CN"/>
        </w:rPr>
      </w:pPr>
      <w:r>
        <w:rPr>
          <w:rFonts w:hint="default"/>
          <w:highlight w:val="none"/>
          <w:lang w:val="en-US" w:eastAsia="zh-CN"/>
        </w:rPr>
        <w:t>建筑间距的确定应当综合考虑日照、消防、环保、管线敷设、国家安全、建筑保护、卫生以及土地合理利用等因素，满足《建筑设计防火规范》（GB50016-2014）和开封市</w:t>
      </w:r>
      <w:r>
        <w:rPr>
          <w:rFonts w:hint="eastAsia"/>
          <w:highlight w:val="none"/>
          <w:lang w:val="en-US" w:eastAsia="zh-CN"/>
        </w:rPr>
        <w:t>城市</w:t>
      </w:r>
      <w:r>
        <w:rPr>
          <w:rFonts w:hint="default"/>
          <w:highlight w:val="none"/>
          <w:lang w:val="en-US" w:eastAsia="zh-CN"/>
        </w:rPr>
        <w:t>规划管理的相关规范和规定。</w:t>
      </w:r>
    </w:p>
    <w:p w14:paraId="18E5639C">
      <w:pPr>
        <w:pStyle w:val="4"/>
        <w:bidi w:val="0"/>
        <w:rPr>
          <w:rFonts w:hint="default"/>
          <w:highlight w:val="none"/>
          <w:lang w:val="en-US" w:eastAsia="zh-CN"/>
        </w:rPr>
      </w:pPr>
      <w:r>
        <w:rPr>
          <w:rFonts w:hint="default"/>
          <w:highlight w:val="none"/>
          <w:lang w:val="en-US" w:eastAsia="zh-CN"/>
        </w:rPr>
        <w:t>2.2.5 建筑红线退让控制</w:t>
      </w:r>
    </w:p>
    <w:p w14:paraId="06C1B418">
      <w:pPr>
        <w:ind w:left="0" w:leftChars="0" w:firstLine="560" w:firstLineChars="200"/>
        <w:rPr>
          <w:rFonts w:hint="default"/>
          <w:highlight w:val="none"/>
          <w:lang w:val="en-US" w:eastAsia="zh-CN"/>
        </w:rPr>
      </w:pPr>
      <w:r>
        <w:rPr>
          <w:rFonts w:hint="default"/>
          <w:highlight w:val="none"/>
          <w:lang w:val="en-US" w:eastAsia="zh-CN"/>
        </w:rPr>
        <w:t>A-01 地块</w:t>
      </w:r>
      <w:r>
        <w:rPr>
          <w:rFonts w:hint="eastAsia"/>
          <w:highlight w:val="none"/>
          <w:lang w:val="en-US" w:eastAsia="zh-CN"/>
        </w:rPr>
        <w:t>西、南、北</w:t>
      </w:r>
      <w:r>
        <w:rPr>
          <w:rFonts w:hint="default"/>
          <w:highlight w:val="none"/>
          <w:lang w:val="en-US" w:eastAsia="zh-CN"/>
        </w:rPr>
        <w:t>建筑退让地块用地边界线不小于 3 米，</w:t>
      </w:r>
      <w:r>
        <w:rPr>
          <w:rFonts w:hint="eastAsia"/>
          <w:highlight w:val="none"/>
          <w:lang w:val="en-US" w:eastAsia="zh-CN"/>
        </w:rPr>
        <w:t>东</w:t>
      </w:r>
      <w:r>
        <w:rPr>
          <w:rFonts w:hint="default"/>
          <w:highlight w:val="none"/>
          <w:lang w:val="en-US" w:eastAsia="zh-CN"/>
        </w:rPr>
        <w:t>侧</w:t>
      </w:r>
      <w:r>
        <w:rPr>
          <w:rFonts w:hint="eastAsia"/>
          <w:highlight w:val="none"/>
          <w:lang w:val="en-US" w:eastAsia="zh-CN"/>
        </w:rPr>
        <w:t>退开尉路</w:t>
      </w:r>
      <w:r>
        <w:rPr>
          <w:rFonts w:hint="default"/>
          <w:highlight w:val="none"/>
          <w:lang w:val="en-US" w:eastAsia="zh-CN"/>
        </w:rPr>
        <w:t>不小于 1</w:t>
      </w:r>
      <w:r>
        <w:rPr>
          <w:rFonts w:hint="eastAsia"/>
          <w:highlight w:val="none"/>
          <w:lang w:val="en-US" w:eastAsia="zh-CN"/>
        </w:rPr>
        <w:t>3</w:t>
      </w:r>
      <w:r>
        <w:rPr>
          <w:rFonts w:hint="default"/>
          <w:highlight w:val="none"/>
          <w:lang w:val="en-US" w:eastAsia="zh-CN"/>
        </w:rPr>
        <w:t xml:space="preserve"> 米。</w:t>
      </w:r>
    </w:p>
    <w:p w14:paraId="68BC8E0C">
      <w:pPr>
        <w:ind w:left="0" w:leftChars="0" w:firstLine="560" w:firstLineChars="200"/>
        <w:rPr>
          <w:rFonts w:hint="default"/>
          <w:highlight w:val="none"/>
          <w:lang w:val="en-US" w:eastAsia="zh-CN"/>
        </w:rPr>
      </w:pPr>
      <w:r>
        <w:rPr>
          <w:rFonts w:hint="default"/>
          <w:highlight w:val="none"/>
          <w:lang w:val="en-US" w:eastAsia="zh-CN"/>
        </w:rPr>
        <w:t>建筑退界除满足规划要求外，与周边建筑物距离也应满足相关消防要求。</w:t>
      </w:r>
    </w:p>
    <w:p w14:paraId="598E2D00">
      <w:pPr>
        <w:pStyle w:val="4"/>
        <w:bidi w:val="0"/>
        <w:rPr>
          <w:rFonts w:hint="default"/>
          <w:highlight w:val="none"/>
          <w:lang w:val="en-US" w:eastAsia="zh-CN"/>
        </w:rPr>
      </w:pPr>
      <w:r>
        <w:rPr>
          <w:rFonts w:hint="default"/>
          <w:highlight w:val="none"/>
          <w:lang w:val="en-US" w:eastAsia="zh-CN"/>
        </w:rPr>
        <w:t>2.2.6 绿地率控制</w:t>
      </w:r>
    </w:p>
    <w:p w14:paraId="5218AE35">
      <w:pPr>
        <w:ind w:left="0" w:leftChars="0" w:firstLine="560" w:firstLineChars="200"/>
        <w:rPr>
          <w:rFonts w:hint="default"/>
          <w:highlight w:val="none"/>
          <w:lang w:val="en-US" w:eastAsia="zh-CN"/>
        </w:rPr>
      </w:pPr>
      <w:r>
        <w:rPr>
          <w:rFonts w:hint="default"/>
          <w:highlight w:val="none"/>
          <w:lang w:val="en-US" w:eastAsia="zh-CN"/>
        </w:rPr>
        <w:t>A-01 地块的绿地率按≥</w:t>
      </w:r>
      <w:r>
        <w:rPr>
          <w:rFonts w:hint="eastAsia"/>
          <w:highlight w:val="none"/>
          <w:lang w:val="en-US" w:eastAsia="zh-CN"/>
        </w:rPr>
        <w:t>25</w:t>
      </w:r>
      <w:r>
        <w:rPr>
          <w:rFonts w:hint="default"/>
          <w:highlight w:val="none"/>
          <w:lang w:val="en-US" w:eastAsia="zh-CN"/>
        </w:rPr>
        <w:t>%控制。</w:t>
      </w:r>
    </w:p>
    <w:p w14:paraId="3B51BB67">
      <w:pPr>
        <w:pStyle w:val="4"/>
        <w:bidi w:val="0"/>
        <w:rPr>
          <w:rFonts w:hint="default"/>
          <w:highlight w:val="none"/>
          <w:lang w:val="en-US" w:eastAsia="zh-CN"/>
        </w:rPr>
      </w:pPr>
      <w:r>
        <w:rPr>
          <w:rFonts w:hint="default"/>
          <w:highlight w:val="none"/>
          <w:lang w:val="en-US" w:eastAsia="zh-CN"/>
        </w:rPr>
        <w:t>2.2.7 城市设计</w:t>
      </w:r>
    </w:p>
    <w:p w14:paraId="2AD41157">
      <w:pPr>
        <w:ind w:left="0" w:leftChars="0" w:firstLine="560" w:firstLineChars="200"/>
        <w:rPr>
          <w:rFonts w:hint="default"/>
          <w:highlight w:val="none"/>
          <w:lang w:val="en-US" w:eastAsia="zh-CN"/>
        </w:rPr>
      </w:pPr>
      <w:r>
        <w:rPr>
          <w:rFonts w:hint="default"/>
          <w:highlight w:val="none"/>
          <w:lang w:val="en-US" w:eastAsia="zh-CN"/>
        </w:rPr>
        <w:t>建筑风格应满足当地政府的相关要求，与周边建筑、环境相协调。</w:t>
      </w:r>
    </w:p>
    <w:p w14:paraId="55EE61BA">
      <w:pPr>
        <w:ind w:left="0" w:leftChars="0" w:firstLine="0" w:firstLineChars="0"/>
        <w:jc w:val="both"/>
        <w:rPr>
          <w:rFonts w:hint="default"/>
          <w:highlight w:val="none"/>
          <w:lang w:val="en-US" w:eastAsia="zh-CN"/>
        </w:rPr>
      </w:pPr>
      <w:r>
        <w:rPr>
          <w:rFonts w:hint="default"/>
          <w:highlight w:val="none"/>
          <w:lang w:val="en-US" w:eastAsia="zh-CN"/>
        </w:rPr>
        <w:drawing>
          <wp:inline distT="0" distB="0" distL="114300" distR="114300">
            <wp:extent cx="5300980" cy="3771265"/>
            <wp:effectExtent l="0" t="0" r="13970" b="635"/>
            <wp:docPr id="10" name="图片 10" descr="E:/0-2025年工作/2025.4补控规/2025.9.5商登高速开尉路西北地块论证报告/原资料/尉政土【2021】42号图则.jpg尉政土【2021】42号图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0-2025年工作/2025.4补控规/2025.9.5商登高速开尉路西北地块论证报告/原资料/尉政土【2021】42号图则.jpg尉政土【2021】42号图则"/>
                    <pic:cNvPicPr>
                      <a:picLocks noChangeAspect="1"/>
                    </pic:cNvPicPr>
                  </pic:nvPicPr>
                  <pic:blipFill>
                    <a:blip r:embed="rId14"/>
                    <a:srcRect l="303" r="303"/>
                    <a:stretch>
                      <a:fillRect/>
                    </a:stretch>
                  </pic:blipFill>
                  <pic:spPr>
                    <a:xfrm>
                      <a:off x="0" y="0"/>
                      <a:ext cx="5300980" cy="3771265"/>
                    </a:xfrm>
                    <a:prstGeom prst="rect">
                      <a:avLst/>
                    </a:prstGeom>
                  </pic:spPr>
                </pic:pic>
              </a:graphicData>
            </a:graphic>
          </wp:inline>
        </w:drawing>
      </w:r>
    </w:p>
    <w:p w14:paraId="44B2A2AC">
      <w:pPr>
        <w:ind w:left="0" w:leftChars="0" w:firstLine="560" w:firstLineChars="200"/>
        <w:jc w:val="center"/>
        <w:rPr>
          <w:rFonts w:hint="default"/>
          <w:highlight w:val="none"/>
          <w:lang w:val="en-US" w:eastAsia="zh-CN"/>
        </w:rPr>
      </w:pPr>
      <w:r>
        <w:rPr>
          <w:rFonts w:hint="default"/>
          <w:highlight w:val="none"/>
          <w:lang w:val="en-US" w:eastAsia="zh-CN"/>
        </w:rPr>
        <w:t xml:space="preserve">图 2-2 </w:t>
      </w:r>
      <w:r>
        <w:rPr>
          <w:rFonts w:hint="eastAsia"/>
          <w:highlight w:val="none"/>
          <w:lang w:val="en-US" w:eastAsia="zh-CN"/>
        </w:rPr>
        <w:t>尉政土【2021】42号地块</w:t>
      </w:r>
      <w:r>
        <w:rPr>
          <w:rFonts w:hint="default"/>
          <w:highlight w:val="none"/>
          <w:lang w:val="en-US" w:eastAsia="zh-CN"/>
        </w:rPr>
        <w:t>图则</w:t>
      </w:r>
    </w:p>
    <w:p w14:paraId="0FA80A32">
      <w:pPr>
        <w:pStyle w:val="4"/>
        <w:bidi w:val="0"/>
        <w:rPr>
          <w:rFonts w:hint="default"/>
          <w:highlight w:val="none"/>
          <w:lang w:val="en-US" w:eastAsia="zh-CN"/>
        </w:rPr>
      </w:pPr>
      <w:r>
        <w:rPr>
          <w:rFonts w:hint="default"/>
          <w:highlight w:val="none"/>
          <w:lang w:val="en-US" w:eastAsia="zh-CN"/>
        </w:rPr>
        <w:t>2.2.8 地块功能定位</w:t>
      </w:r>
    </w:p>
    <w:p w14:paraId="76AA8444">
      <w:pPr>
        <w:ind w:left="0" w:leftChars="0" w:firstLine="560" w:firstLineChars="200"/>
        <w:jc w:val="left"/>
        <w:rPr>
          <w:rFonts w:hint="default"/>
          <w:highlight w:val="none"/>
          <w:lang w:val="en-US" w:eastAsia="zh-CN"/>
        </w:rPr>
      </w:pPr>
      <w:r>
        <w:rPr>
          <w:rFonts w:hint="eastAsia"/>
          <w:highlight w:val="none"/>
          <w:lang w:val="en-US" w:eastAsia="zh-CN"/>
        </w:rPr>
        <w:t>在尉政土【2021】42号地块</w:t>
      </w:r>
      <w:r>
        <w:rPr>
          <w:rFonts w:hint="default"/>
          <w:highlight w:val="none"/>
          <w:lang w:val="en-US" w:eastAsia="zh-CN"/>
        </w:rPr>
        <w:t>控制性详细规划中本地块用地性质</w:t>
      </w:r>
      <w:r>
        <w:rPr>
          <w:rFonts w:hint="eastAsia"/>
          <w:highlight w:val="none"/>
          <w:lang w:val="en-US" w:eastAsia="zh-CN"/>
        </w:rPr>
        <w:t>为公用设施营业网点</w:t>
      </w:r>
      <w:r>
        <w:rPr>
          <w:rFonts w:hint="default"/>
          <w:highlight w:val="none"/>
          <w:lang w:val="en-US" w:eastAsia="zh-CN"/>
        </w:rPr>
        <w:t>用地。</w:t>
      </w:r>
    </w:p>
    <w:p w14:paraId="5B1B7168">
      <w:pPr>
        <w:pStyle w:val="2"/>
        <w:bidi w:val="0"/>
        <w:rPr>
          <w:rFonts w:ascii="宋体"/>
          <w:color w:val="000000"/>
          <w:spacing w:val="0"/>
          <w:sz w:val="36"/>
          <w:highlight w:val="none"/>
        </w:rPr>
      </w:pPr>
      <w:bookmarkStart w:id="9" w:name="_Toc6867"/>
      <w:bookmarkStart w:id="10" w:name="_Toc22399"/>
      <w:r>
        <w:rPr>
          <w:rFonts w:ascii="宋体" w:hAnsi="宋体" w:cs="宋体"/>
          <w:color w:val="000000"/>
          <w:spacing w:val="1"/>
          <w:sz w:val="36"/>
          <w:highlight w:val="none"/>
        </w:rPr>
        <w:t>第三章</w:t>
      </w:r>
      <w:r>
        <w:rPr>
          <w:rFonts w:ascii="Times New Roman"/>
          <w:color w:val="000000"/>
          <w:spacing w:val="89"/>
          <w:sz w:val="36"/>
          <w:highlight w:val="none"/>
        </w:rPr>
        <w:t xml:space="preserve"> </w:t>
      </w:r>
      <w:r>
        <w:rPr>
          <w:rFonts w:ascii="宋体" w:hAnsi="宋体" w:cs="宋体"/>
          <w:color w:val="000000"/>
          <w:spacing w:val="1"/>
          <w:sz w:val="36"/>
          <w:highlight w:val="none"/>
        </w:rPr>
        <w:t>调整内容与用地范围</w:t>
      </w:r>
      <w:bookmarkEnd w:id="9"/>
      <w:bookmarkEnd w:id="10"/>
    </w:p>
    <w:p w14:paraId="231A1720">
      <w:pPr>
        <w:pStyle w:val="3"/>
        <w:bidi w:val="0"/>
        <w:rPr>
          <w:rFonts w:hint="default"/>
          <w:highlight w:val="none"/>
          <w:lang w:val="en-US" w:eastAsia="zh-CN"/>
        </w:rPr>
      </w:pPr>
      <w:bookmarkStart w:id="11" w:name="_Toc12560"/>
      <w:bookmarkStart w:id="12" w:name="_Toc478"/>
      <w:r>
        <w:rPr>
          <w:rFonts w:hint="default"/>
          <w:highlight w:val="none"/>
          <w:lang w:val="en-US" w:eastAsia="zh-CN"/>
        </w:rPr>
        <w:t>3.1 调整内容</w:t>
      </w:r>
      <w:bookmarkEnd w:id="11"/>
      <w:bookmarkEnd w:id="12"/>
    </w:p>
    <w:p w14:paraId="23777557">
      <w:pPr>
        <w:ind w:left="0" w:leftChars="0" w:firstLine="560" w:firstLineChars="200"/>
        <w:jc w:val="left"/>
        <w:rPr>
          <w:rFonts w:hint="default"/>
          <w:highlight w:val="none"/>
          <w:lang w:val="en-US" w:eastAsia="zh-CN"/>
        </w:rPr>
      </w:pPr>
      <w:r>
        <w:rPr>
          <w:rFonts w:hint="default"/>
          <w:highlight w:val="none"/>
          <w:lang w:val="en-US" w:eastAsia="zh-CN"/>
        </w:rPr>
        <w:t>根据实际情况，原控规用地边界及面积不变，将用地性质由</w:t>
      </w:r>
      <w:r>
        <w:rPr>
          <w:rFonts w:hint="eastAsia"/>
          <w:highlight w:val="none"/>
          <w:lang w:val="en-US" w:eastAsia="zh-CN"/>
        </w:rPr>
        <w:t>公用设施营业网点用地</w:t>
      </w:r>
      <w:r>
        <w:rPr>
          <w:rFonts w:hint="default"/>
          <w:highlight w:val="none"/>
          <w:lang w:val="en-US" w:eastAsia="zh-CN"/>
        </w:rPr>
        <w:t>调整为</w:t>
      </w:r>
      <w:r>
        <w:rPr>
          <w:rFonts w:hint="eastAsia"/>
          <w:highlight w:val="none"/>
          <w:lang w:val="en-US" w:eastAsia="zh-CN"/>
        </w:rPr>
        <w:t>仓储</w:t>
      </w:r>
      <w:r>
        <w:rPr>
          <w:rFonts w:hint="default"/>
          <w:highlight w:val="none"/>
          <w:lang w:val="en-US" w:eastAsia="zh-CN"/>
        </w:rPr>
        <w:t>用地。</w:t>
      </w:r>
    </w:p>
    <w:p w14:paraId="4349425B">
      <w:pPr>
        <w:pStyle w:val="3"/>
        <w:bidi w:val="0"/>
        <w:rPr>
          <w:rFonts w:hint="default"/>
          <w:highlight w:val="none"/>
          <w:lang w:val="en-US" w:eastAsia="zh-CN"/>
        </w:rPr>
      </w:pPr>
      <w:bookmarkStart w:id="13" w:name="_Toc5862"/>
      <w:bookmarkStart w:id="14" w:name="_Toc1343"/>
      <w:r>
        <w:rPr>
          <w:rFonts w:hint="default"/>
          <w:highlight w:val="none"/>
          <w:lang w:val="en-US" w:eastAsia="zh-CN"/>
        </w:rPr>
        <w:t>3.2 用地范围</w:t>
      </w:r>
      <w:bookmarkEnd w:id="13"/>
      <w:bookmarkEnd w:id="14"/>
    </w:p>
    <w:p w14:paraId="1DE7417B">
      <w:pPr>
        <w:ind w:left="0" w:leftChars="0" w:firstLine="560" w:firstLineChars="200"/>
        <w:jc w:val="left"/>
        <w:rPr>
          <w:rFonts w:hint="default"/>
          <w:highlight w:val="none"/>
          <w:lang w:val="en-US" w:eastAsia="zh-CN"/>
        </w:rPr>
      </w:pPr>
      <w:r>
        <w:rPr>
          <w:rFonts w:hint="eastAsia"/>
          <w:highlight w:val="none"/>
          <w:lang w:val="en-US" w:eastAsia="zh-CN"/>
        </w:rPr>
        <w:t>东临开尉路</w:t>
      </w:r>
      <w:r>
        <w:rPr>
          <w:rFonts w:hint="default"/>
          <w:highlight w:val="none"/>
          <w:lang w:val="en-US" w:eastAsia="zh-CN"/>
        </w:rPr>
        <w:t xml:space="preserve">，规划面积 </w:t>
      </w:r>
      <w:r>
        <w:rPr>
          <w:rFonts w:hint="eastAsia"/>
          <w:highlight w:val="none"/>
          <w:lang w:val="en-US" w:eastAsia="zh-CN"/>
        </w:rPr>
        <w:t>5303</w:t>
      </w:r>
      <w:r>
        <w:rPr>
          <w:rFonts w:hint="default"/>
          <w:highlight w:val="none"/>
          <w:lang w:val="en-US" w:eastAsia="zh-CN"/>
        </w:rPr>
        <w:t xml:space="preserve"> 平方米。</w:t>
      </w:r>
    </w:p>
    <w:p w14:paraId="4D7D0D5B">
      <w:pPr>
        <w:pStyle w:val="2"/>
        <w:bidi w:val="0"/>
        <w:rPr>
          <w:rFonts w:ascii="宋体"/>
          <w:color w:val="000000"/>
          <w:spacing w:val="0"/>
          <w:sz w:val="36"/>
          <w:highlight w:val="none"/>
        </w:rPr>
      </w:pPr>
      <w:bookmarkStart w:id="15" w:name="_Toc4093"/>
      <w:bookmarkStart w:id="16" w:name="_Toc4486"/>
      <w:r>
        <w:rPr>
          <w:rFonts w:ascii="宋体" w:hAnsi="宋体" w:cs="宋体"/>
          <w:color w:val="000000"/>
          <w:spacing w:val="1"/>
          <w:sz w:val="36"/>
          <w:highlight w:val="none"/>
        </w:rPr>
        <w:t>第四章</w:t>
      </w:r>
      <w:r>
        <w:rPr>
          <w:rFonts w:ascii="Times New Roman"/>
          <w:color w:val="000000"/>
          <w:spacing w:val="89"/>
          <w:sz w:val="36"/>
          <w:highlight w:val="none"/>
        </w:rPr>
        <w:t xml:space="preserve"> </w:t>
      </w:r>
      <w:r>
        <w:rPr>
          <w:rFonts w:ascii="宋体" w:hAnsi="宋体" w:cs="宋体"/>
          <w:color w:val="000000"/>
          <w:spacing w:val="2"/>
          <w:sz w:val="36"/>
          <w:highlight w:val="none"/>
        </w:rPr>
        <w:t>调整依据及原则</w:t>
      </w:r>
      <w:bookmarkEnd w:id="15"/>
      <w:bookmarkEnd w:id="16"/>
    </w:p>
    <w:p w14:paraId="757ADA81">
      <w:pPr>
        <w:pStyle w:val="3"/>
        <w:bidi w:val="0"/>
        <w:rPr>
          <w:rFonts w:hint="default"/>
          <w:highlight w:val="none"/>
          <w:lang w:val="en-US" w:eastAsia="zh-CN"/>
        </w:rPr>
      </w:pPr>
      <w:bookmarkStart w:id="17" w:name="_Toc27631"/>
      <w:bookmarkStart w:id="18" w:name="_Toc7186"/>
      <w:r>
        <w:rPr>
          <w:rFonts w:hint="default"/>
          <w:highlight w:val="none"/>
          <w:lang w:val="en-US" w:eastAsia="zh-CN"/>
        </w:rPr>
        <w:t>4.1 调整依据</w:t>
      </w:r>
      <w:bookmarkEnd w:id="17"/>
      <w:bookmarkEnd w:id="18"/>
    </w:p>
    <w:p w14:paraId="122B634F">
      <w:pPr>
        <w:rPr>
          <w:rFonts w:hint="default"/>
          <w:highlight w:val="none"/>
          <w:lang w:val="en-US" w:eastAsia="zh-CN"/>
        </w:rPr>
      </w:pPr>
      <w:r>
        <w:rPr>
          <w:rFonts w:hint="default"/>
          <w:highlight w:val="none"/>
          <w:lang w:val="en-US" w:eastAsia="zh-CN"/>
        </w:rPr>
        <w:t>1、《中华人民共和国土地管理法》（20</w:t>
      </w:r>
      <w:r>
        <w:rPr>
          <w:rFonts w:hint="eastAsia"/>
          <w:highlight w:val="none"/>
          <w:lang w:val="en-US" w:eastAsia="zh-CN"/>
        </w:rPr>
        <w:t>19修正</w:t>
      </w:r>
      <w:r>
        <w:rPr>
          <w:rFonts w:hint="default"/>
          <w:highlight w:val="none"/>
          <w:lang w:val="en-US" w:eastAsia="zh-CN"/>
        </w:rPr>
        <w:t>）</w:t>
      </w:r>
    </w:p>
    <w:p w14:paraId="24732C32">
      <w:pPr>
        <w:rPr>
          <w:rFonts w:hint="default"/>
          <w:highlight w:val="none"/>
          <w:lang w:val="en-US" w:eastAsia="zh-CN"/>
        </w:rPr>
      </w:pPr>
      <w:r>
        <w:rPr>
          <w:rFonts w:hint="default"/>
          <w:highlight w:val="none"/>
          <w:lang w:val="en-US" w:eastAsia="zh-CN"/>
        </w:rPr>
        <w:t>2、《中华人民共和国城市房地产管理法》（20</w:t>
      </w:r>
      <w:r>
        <w:rPr>
          <w:rFonts w:hint="eastAsia"/>
          <w:highlight w:val="none"/>
          <w:lang w:val="en-US" w:eastAsia="zh-CN"/>
        </w:rPr>
        <w:t>19修正</w:t>
      </w:r>
      <w:r>
        <w:rPr>
          <w:rFonts w:hint="default"/>
          <w:highlight w:val="none"/>
          <w:lang w:val="en-US" w:eastAsia="zh-CN"/>
        </w:rPr>
        <w:t>）</w:t>
      </w:r>
    </w:p>
    <w:p w14:paraId="309102DE">
      <w:pPr>
        <w:rPr>
          <w:rFonts w:hint="default"/>
          <w:highlight w:val="none"/>
          <w:lang w:val="en-US" w:eastAsia="zh-CN"/>
        </w:rPr>
      </w:pPr>
      <w:r>
        <w:rPr>
          <w:rFonts w:hint="default"/>
          <w:highlight w:val="none"/>
          <w:lang w:val="en-US" w:eastAsia="zh-CN"/>
        </w:rPr>
        <w:t>3、《中华人民共和国城乡规划法》（2019</w:t>
      </w:r>
      <w:r>
        <w:rPr>
          <w:rFonts w:hint="eastAsia"/>
          <w:highlight w:val="none"/>
          <w:lang w:val="en-US" w:eastAsia="zh-CN"/>
        </w:rPr>
        <w:t>修正</w:t>
      </w:r>
      <w:r>
        <w:rPr>
          <w:rFonts w:hint="default"/>
          <w:highlight w:val="none"/>
          <w:lang w:val="en-US" w:eastAsia="zh-CN"/>
        </w:rPr>
        <w:t>）</w:t>
      </w:r>
    </w:p>
    <w:p w14:paraId="1BC52C9C">
      <w:pPr>
        <w:rPr>
          <w:rFonts w:hint="default"/>
          <w:highlight w:val="none"/>
          <w:lang w:val="en-US" w:eastAsia="zh-CN"/>
        </w:rPr>
      </w:pPr>
      <w:r>
        <w:rPr>
          <w:rFonts w:hint="default"/>
          <w:highlight w:val="none"/>
          <w:lang w:val="en-US" w:eastAsia="zh-CN"/>
        </w:rPr>
        <w:t>4、《城市规划编制办法》建设部（2006）</w:t>
      </w:r>
    </w:p>
    <w:p w14:paraId="02F81159">
      <w:pPr>
        <w:rPr>
          <w:rFonts w:hint="default"/>
          <w:highlight w:val="none"/>
          <w:lang w:val="en-US" w:eastAsia="zh-CN"/>
        </w:rPr>
      </w:pPr>
      <w:r>
        <w:rPr>
          <w:rFonts w:hint="default"/>
          <w:highlight w:val="none"/>
          <w:lang w:val="en-US" w:eastAsia="zh-CN"/>
        </w:rPr>
        <w:t>5、《城市、镇控制性详细规划编制审批办法》（2011）</w:t>
      </w:r>
    </w:p>
    <w:p w14:paraId="03FFBC57">
      <w:pPr>
        <w:rPr>
          <w:rFonts w:hint="default"/>
          <w:highlight w:val="none"/>
          <w:lang w:val="en-US" w:eastAsia="zh-CN"/>
        </w:rPr>
      </w:pPr>
      <w:r>
        <w:rPr>
          <w:rFonts w:hint="default"/>
          <w:highlight w:val="none"/>
          <w:lang w:val="en-US" w:eastAsia="zh-CN"/>
        </w:rPr>
        <w:t>6、《国土空间调查、规划、用途管制用地用海分类指南》</w:t>
      </w:r>
    </w:p>
    <w:p w14:paraId="53067925">
      <w:pPr>
        <w:rPr>
          <w:rFonts w:hint="eastAsia"/>
          <w:highlight w:val="none"/>
          <w:lang w:val="en-US" w:eastAsia="zh-CN"/>
        </w:rPr>
      </w:pPr>
      <w:r>
        <w:rPr>
          <w:rFonts w:hint="default"/>
          <w:highlight w:val="none"/>
          <w:lang w:val="en-US" w:eastAsia="zh-CN"/>
        </w:rPr>
        <w:t>7、《</w:t>
      </w:r>
      <w:r>
        <w:rPr>
          <w:rFonts w:hint="eastAsia"/>
          <w:highlight w:val="none"/>
          <w:lang w:val="en-US" w:eastAsia="zh-CN"/>
        </w:rPr>
        <w:t>尉氏县国土空间总体规划</w:t>
      </w:r>
      <w:r>
        <w:rPr>
          <w:rFonts w:hint="default"/>
          <w:highlight w:val="none"/>
          <w:lang w:val="en-US" w:eastAsia="zh-CN"/>
        </w:rPr>
        <w:t>》</w:t>
      </w:r>
      <w:r>
        <w:rPr>
          <w:rFonts w:hint="eastAsia"/>
          <w:highlight w:val="none"/>
          <w:lang w:val="en-US" w:eastAsia="zh-CN"/>
        </w:rPr>
        <w:t>（2021-2035）</w:t>
      </w:r>
    </w:p>
    <w:p w14:paraId="13F41C34">
      <w:pPr>
        <w:rPr>
          <w:rFonts w:hint="default" w:cs="Times New Roman"/>
          <w:highlight w:val="none"/>
          <w:lang w:val="en-US" w:eastAsia="zh-CN"/>
        </w:rPr>
      </w:pPr>
      <w:r>
        <w:rPr>
          <w:rFonts w:hint="default" w:cs="Times New Roman"/>
          <w:highlight w:val="none"/>
          <w:lang w:val="en-US" w:eastAsia="zh-CN"/>
        </w:rPr>
        <w:t>8、</w:t>
      </w:r>
      <w:r>
        <w:rPr>
          <w:rFonts w:hint="eastAsia" w:cs="Times New Roman"/>
          <w:highlight w:val="none"/>
          <w:lang w:val="en-US" w:eastAsia="zh-CN"/>
        </w:rPr>
        <w:t>《开封市城市规划管理技术规定》</w:t>
      </w:r>
    </w:p>
    <w:p w14:paraId="683463AF">
      <w:pPr>
        <w:rPr>
          <w:rFonts w:hint="default"/>
          <w:color w:val="auto"/>
          <w:highlight w:val="none"/>
          <w:lang w:val="en-US" w:eastAsia="zh-CN"/>
        </w:rPr>
      </w:pPr>
      <w:r>
        <w:rPr>
          <w:rFonts w:hint="default"/>
          <w:color w:val="auto"/>
          <w:highlight w:val="none"/>
          <w:lang w:val="en-US" w:eastAsia="zh-CN"/>
        </w:rPr>
        <w:t>9、《</w:t>
      </w:r>
      <w:r>
        <w:rPr>
          <w:rFonts w:hint="eastAsia"/>
          <w:highlight w:val="none"/>
          <w:lang w:val="en-US" w:eastAsia="zh-CN"/>
        </w:rPr>
        <w:t>尉政土【2021】42号地块</w:t>
      </w:r>
      <w:r>
        <w:rPr>
          <w:rFonts w:hint="default"/>
          <w:color w:val="auto"/>
          <w:highlight w:val="none"/>
          <w:lang w:val="en-US" w:eastAsia="zh-CN"/>
        </w:rPr>
        <w:t>控制性详细规划》</w:t>
      </w:r>
    </w:p>
    <w:p w14:paraId="3586E9CE">
      <w:pPr>
        <w:rPr>
          <w:rFonts w:hint="default" w:cs="Times New Roman"/>
          <w:highlight w:val="none"/>
          <w:lang w:val="en-US" w:eastAsia="zh-CN"/>
        </w:rPr>
      </w:pPr>
      <w:r>
        <w:rPr>
          <w:rFonts w:hint="default" w:cs="Times New Roman"/>
          <w:highlight w:val="none"/>
          <w:lang w:val="en-US" w:eastAsia="zh-CN"/>
        </w:rPr>
        <w:t>10、其它相关国家、地方标准及设计规范</w:t>
      </w:r>
    </w:p>
    <w:p w14:paraId="556C5176">
      <w:pPr>
        <w:pStyle w:val="3"/>
        <w:bidi w:val="0"/>
        <w:rPr>
          <w:rFonts w:hint="default"/>
          <w:highlight w:val="none"/>
          <w:lang w:val="en-US" w:eastAsia="zh-CN"/>
        </w:rPr>
      </w:pPr>
      <w:bookmarkStart w:id="19" w:name="_Toc27732"/>
      <w:bookmarkStart w:id="20" w:name="_Toc22406"/>
      <w:r>
        <w:rPr>
          <w:rFonts w:hint="default"/>
          <w:highlight w:val="none"/>
          <w:lang w:val="en-US" w:eastAsia="zh-CN"/>
        </w:rPr>
        <w:t>4.2 调整原则</w:t>
      </w:r>
      <w:bookmarkEnd w:id="19"/>
      <w:bookmarkEnd w:id="20"/>
    </w:p>
    <w:p w14:paraId="097AD951">
      <w:pPr>
        <w:ind w:left="0" w:leftChars="0" w:firstLine="0" w:firstLineChars="0"/>
        <w:rPr>
          <w:rFonts w:hint="default"/>
          <w:highlight w:val="none"/>
          <w:lang w:val="en-US" w:eastAsia="zh-CN"/>
        </w:rPr>
      </w:pPr>
      <w:r>
        <w:rPr>
          <w:rFonts w:hint="default"/>
          <w:highlight w:val="none"/>
          <w:lang w:val="en-US" w:eastAsia="zh-CN"/>
        </w:rPr>
        <w:t>1、符合国家、地方法律法规和有关政策精神的原则</w:t>
      </w:r>
    </w:p>
    <w:p w14:paraId="1556806E">
      <w:pPr>
        <w:ind w:left="0" w:leftChars="0" w:firstLine="560" w:firstLineChars="200"/>
        <w:rPr>
          <w:rFonts w:hint="default"/>
          <w:highlight w:val="none"/>
          <w:lang w:val="en-US" w:eastAsia="zh-CN"/>
        </w:rPr>
      </w:pPr>
      <w:r>
        <w:rPr>
          <w:rFonts w:hint="default"/>
          <w:highlight w:val="none"/>
          <w:lang w:val="en-US" w:eastAsia="zh-CN"/>
        </w:rPr>
        <w:t>规划调整要严格按照《中华人民共和国城乡规划法》、《城市规划编制办法》等相关法律法规的要求进行编制，对调整的必要性和可行性进行论证，并按照法定程序执行。</w:t>
      </w:r>
    </w:p>
    <w:p w14:paraId="5E40EB36">
      <w:pPr>
        <w:ind w:left="0" w:leftChars="0" w:firstLine="0" w:firstLineChars="0"/>
        <w:rPr>
          <w:rFonts w:hint="default"/>
          <w:highlight w:val="none"/>
          <w:lang w:val="en-US" w:eastAsia="zh-CN"/>
        </w:rPr>
      </w:pPr>
      <w:r>
        <w:rPr>
          <w:rFonts w:hint="default"/>
          <w:highlight w:val="none"/>
          <w:lang w:val="en-US" w:eastAsia="zh-CN"/>
        </w:rPr>
        <w:t>2、区域协调发展原则</w:t>
      </w:r>
    </w:p>
    <w:p w14:paraId="42601A3F">
      <w:pPr>
        <w:ind w:left="0" w:leftChars="0" w:firstLine="560" w:firstLineChars="200"/>
        <w:rPr>
          <w:rFonts w:hint="default"/>
          <w:highlight w:val="none"/>
          <w:lang w:val="en-US" w:eastAsia="zh-CN"/>
        </w:rPr>
      </w:pPr>
      <w:r>
        <w:rPr>
          <w:rFonts w:hint="default"/>
          <w:highlight w:val="none"/>
          <w:lang w:val="en-US" w:eastAsia="zh-CN"/>
        </w:rPr>
        <w:t>规划调整要符合区域经济发展趋势，有利于创造良好的经济效益和社会效益；规划调整要处理好与周边现状已建、在建、待建等项目的协调，与城市整体发展的协调，提升城市形象，塑造高品质城市空间景观环境。</w:t>
      </w:r>
    </w:p>
    <w:p w14:paraId="4B76F5B6">
      <w:pPr>
        <w:ind w:left="0" w:leftChars="0" w:firstLine="0" w:firstLineChars="0"/>
        <w:rPr>
          <w:rFonts w:hint="default"/>
          <w:highlight w:val="none"/>
          <w:lang w:val="en-US" w:eastAsia="zh-CN"/>
        </w:rPr>
      </w:pPr>
      <w:r>
        <w:rPr>
          <w:rFonts w:hint="default"/>
          <w:highlight w:val="none"/>
          <w:lang w:val="en-US" w:eastAsia="zh-CN"/>
        </w:rPr>
        <w:t>3、可操作性原则</w:t>
      </w:r>
    </w:p>
    <w:p w14:paraId="70AA3F6A">
      <w:pPr>
        <w:ind w:left="0" w:leftChars="0" w:firstLine="560" w:firstLineChars="200"/>
        <w:rPr>
          <w:rFonts w:hint="default"/>
          <w:highlight w:val="none"/>
          <w:lang w:val="en-US" w:eastAsia="zh-CN"/>
        </w:rPr>
      </w:pPr>
      <w:r>
        <w:rPr>
          <w:rFonts w:hint="default"/>
          <w:highlight w:val="none"/>
          <w:lang w:val="en-US" w:eastAsia="zh-CN"/>
        </w:rPr>
        <w:t>规划调整应符合城市实际和未来城市发展要求，结合项目特点，因地制宜。论证内容和方法充分考虑规划的刚性与弹性相结合，为规划调整后项目实施提供可操作性。</w:t>
      </w:r>
    </w:p>
    <w:p w14:paraId="1E1ADC14">
      <w:pPr>
        <w:pStyle w:val="3"/>
        <w:bidi w:val="0"/>
        <w:rPr>
          <w:rFonts w:hint="default"/>
          <w:highlight w:val="none"/>
          <w:lang w:val="en-US" w:eastAsia="zh-CN"/>
        </w:rPr>
      </w:pPr>
      <w:bookmarkStart w:id="21" w:name="_Toc22335"/>
      <w:bookmarkStart w:id="22" w:name="_Toc29114"/>
      <w:r>
        <w:rPr>
          <w:rFonts w:hint="default"/>
          <w:highlight w:val="none"/>
          <w:lang w:val="en-US" w:eastAsia="zh-CN"/>
        </w:rPr>
        <w:t>4.3 调整程序</w:t>
      </w:r>
      <w:bookmarkEnd w:id="21"/>
      <w:bookmarkEnd w:id="22"/>
    </w:p>
    <w:p w14:paraId="16C9F18E">
      <w:pPr>
        <w:rPr>
          <w:rFonts w:hint="default"/>
          <w:highlight w:val="none"/>
          <w:lang w:val="en-US" w:eastAsia="zh-CN"/>
        </w:rPr>
      </w:pPr>
      <w:r>
        <w:rPr>
          <w:rFonts w:hint="default"/>
          <w:highlight w:val="none"/>
          <w:lang w:val="en-US" w:eastAsia="zh-CN"/>
        </w:rPr>
        <w:t>根据《中华人民共和国城乡规划法》（2019 年修订版）第四十八条 修改控制性详细规划的，组织编制机关应当对修改的必要性进行论证，征求规划地段内利害关系人的意见，并向原审批机关提出专题报告，经原审批机关同意后，方可编制修改方案。修改后的控制性详细规划，应当依照本法第十九条、第二十条规定的审批程序报批。</w:t>
      </w:r>
    </w:p>
    <w:p w14:paraId="19FA7D68">
      <w:pPr>
        <w:pageBreakBefore w:val="0"/>
        <w:widowControl w:val="0"/>
        <w:kinsoku/>
        <w:wordWrap/>
        <w:overflowPunct/>
        <w:topLinePunct w:val="0"/>
        <w:autoSpaceDE/>
        <w:autoSpaceDN/>
        <w:bidi w:val="0"/>
        <w:adjustRightInd/>
        <w:snapToGrid/>
        <w:spacing w:before="0" w:beforeLines="0" w:after="0" w:afterLines="0" w:line="596" w:lineRule="exact"/>
        <w:ind w:firstLine="640"/>
        <w:jc w:val="both"/>
        <w:textAlignment w:val="auto"/>
        <w:rPr>
          <w:rFonts w:hint="eastAsia" w:ascii="宋体" w:hAnsi="宋体" w:eastAsia="宋体" w:cs="宋体"/>
          <w:szCs w:val="28"/>
          <w:highlight w:val="none"/>
        </w:rPr>
      </w:pPr>
      <w:r>
        <w:rPr>
          <w:rFonts w:hint="default"/>
          <w:highlight w:val="none"/>
          <w:lang w:val="en-US" w:eastAsia="zh-CN"/>
        </w:rPr>
        <w:t>本次规划调整论证充分结合尉氏县</w:t>
      </w:r>
      <w:r>
        <w:rPr>
          <w:rFonts w:hint="eastAsia"/>
          <w:highlight w:val="none"/>
          <w:lang w:val="en-US" w:eastAsia="zh-CN"/>
        </w:rPr>
        <w:t>国土空间</w:t>
      </w:r>
      <w:r>
        <w:rPr>
          <w:rFonts w:hint="default"/>
          <w:highlight w:val="none"/>
          <w:lang w:val="en-US" w:eastAsia="zh-CN"/>
        </w:rPr>
        <w:t>总体规划和</w:t>
      </w:r>
      <w:r>
        <w:rPr>
          <w:rFonts w:hint="eastAsia"/>
          <w:highlight w:val="none"/>
          <w:lang w:val="en-US" w:eastAsia="zh-CN"/>
        </w:rPr>
        <w:t>尉政土【2021】42号地块</w:t>
      </w:r>
      <w:r>
        <w:rPr>
          <w:rFonts w:hint="default"/>
          <w:highlight w:val="none"/>
          <w:lang w:val="en-US" w:eastAsia="zh-CN"/>
        </w:rPr>
        <w:t>控制性详细规划规划要求，对调整的必要性和可行性进行论证，形成调整论证报告，经审查同意后，对项目地块用地性质进行调整。</w:t>
      </w:r>
    </w:p>
    <w:p w14:paraId="19324A1E"/>
    <w:p w14:paraId="15FA2AFA">
      <w:pPr>
        <w:rPr>
          <w:rFonts w:hint="default"/>
          <w:highlight w:val="green"/>
          <w:lang w:val="en-US" w:eastAsia="zh-CN"/>
        </w:rPr>
      </w:pPr>
    </w:p>
    <w:p w14:paraId="745686ED">
      <w:pPr>
        <w:pStyle w:val="2"/>
        <w:numPr>
          <w:ilvl w:val="0"/>
          <w:numId w:val="1"/>
        </w:numPr>
        <w:bidi w:val="0"/>
        <w:rPr>
          <w:rFonts w:hint="default"/>
          <w:highlight w:val="none"/>
          <w:lang w:val="en-US" w:eastAsia="zh-CN"/>
        </w:rPr>
      </w:pPr>
      <w:bookmarkStart w:id="23" w:name="_Toc14276"/>
      <w:r>
        <w:rPr>
          <w:rFonts w:hint="default"/>
          <w:highlight w:val="none"/>
          <w:lang w:val="en-US" w:eastAsia="zh-CN"/>
        </w:rPr>
        <w:t>调整的必要性</w:t>
      </w:r>
      <w:bookmarkEnd w:id="23"/>
    </w:p>
    <w:p w14:paraId="4AE3C6CA">
      <w:pPr>
        <w:pStyle w:val="3"/>
        <w:bidi w:val="0"/>
        <w:rPr>
          <w:rFonts w:hint="default"/>
          <w:color w:val="auto"/>
          <w:highlight w:val="none"/>
          <w:lang w:val="en-US" w:eastAsia="zh-CN"/>
        </w:rPr>
      </w:pPr>
      <w:bookmarkStart w:id="24" w:name="_Toc16790"/>
      <w:r>
        <w:rPr>
          <w:rFonts w:hint="default"/>
          <w:color w:val="auto"/>
          <w:highlight w:val="none"/>
          <w:lang w:val="en-US" w:eastAsia="zh-CN"/>
        </w:rPr>
        <w:t xml:space="preserve">5.1 </w:t>
      </w:r>
      <w:r>
        <w:rPr>
          <w:rFonts w:hint="eastAsia"/>
          <w:highlight w:val="none"/>
          <w:lang w:val="en-US" w:eastAsia="zh-CN"/>
        </w:rPr>
        <w:t>提高规划的科学性</w:t>
      </w:r>
      <w:bookmarkEnd w:id="24"/>
    </w:p>
    <w:p w14:paraId="3E8138D4">
      <w:pPr>
        <w:rPr>
          <w:rFonts w:hint="default"/>
          <w:highlight w:val="none"/>
          <w:lang w:val="en-US" w:eastAsia="zh-CN"/>
        </w:rPr>
      </w:pPr>
      <w:r>
        <w:rPr>
          <w:rFonts w:hint="default"/>
          <w:highlight w:val="none"/>
          <w:lang w:val="en-US" w:eastAsia="zh-CN"/>
        </w:rPr>
        <w:t>城市规划是一个动态发展的过程，规划在实施过程中的发展是必然的，在一定时期内结合具体情况进行规划调整也是不可避免的。</w:t>
      </w:r>
    </w:p>
    <w:p w14:paraId="6629DDA1">
      <w:pPr>
        <w:rPr>
          <w:rFonts w:hint="default"/>
          <w:highlight w:val="none"/>
          <w:lang w:val="en-US" w:eastAsia="zh-CN"/>
        </w:rPr>
      </w:pPr>
      <w:r>
        <w:rPr>
          <w:rFonts w:hint="default"/>
          <w:highlight w:val="none"/>
          <w:lang w:val="en-US" w:eastAsia="zh-CN"/>
        </w:rPr>
        <w:t>为了使土地和空间资源合理配置，更有利于城市的建设和发展，有必要对拟调整地块用地性质进行调整，合理配置土地资源，以满足城市可持续发展的需求。</w:t>
      </w:r>
    </w:p>
    <w:p w14:paraId="1901965D">
      <w:pPr>
        <w:ind w:left="0" w:leftChars="0" w:firstLine="560" w:firstLineChars="200"/>
        <w:rPr>
          <w:rFonts w:hint="default"/>
          <w:color w:val="auto"/>
          <w:highlight w:val="green"/>
          <w:lang w:val="en-US" w:eastAsia="zh-CN"/>
        </w:rPr>
      </w:pPr>
      <w:r>
        <w:rPr>
          <w:rFonts w:hint="eastAsia"/>
          <w:highlight w:val="none"/>
          <w:lang w:val="en-US" w:eastAsia="zh-CN"/>
        </w:rPr>
        <w:t>尉政土【2021】42号地块</w:t>
      </w:r>
      <w:r>
        <w:rPr>
          <w:rFonts w:hint="default"/>
          <w:highlight w:val="none"/>
          <w:lang w:val="en-US" w:eastAsia="zh-CN"/>
        </w:rPr>
        <w:t>控制性详细规划于 20</w:t>
      </w:r>
      <w:r>
        <w:rPr>
          <w:rFonts w:hint="eastAsia"/>
          <w:highlight w:val="none"/>
          <w:lang w:val="en-US" w:eastAsia="zh-CN"/>
        </w:rPr>
        <w:t>21</w:t>
      </w:r>
      <w:r>
        <w:rPr>
          <w:rFonts w:hint="default"/>
          <w:highlight w:val="none"/>
          <w:lang w:val="en-US" w:eastAsia="zh-CN"/>
        </w:rPr>
        <w:t xml:space="preserve"> 年编制，将本地块</w:t>
      </w:r>
      <w:r>
        <w:rPr>
          <w:rFonts w:hint="eastAsia"/>
          <w:highlight w:val="none"/>
          <w:lang w:val="en-US" w:eastAsia="zh-CN"/>
        </w:rPr>
        <w:t>规划为公用设施营业网点用地</w:t>
      </w:r>
      <w:r>
        <w:rPr>
          <w:rFonts w:hint="default"/>
          <w:highlight w:val="none"/>
          <w:lang w:val="en-US" w:eastAsia="zh-CN"/>
        </w:rPr>
        <w:t>。如今尉氏县城市发展迅速，</w:t>
      </w:r>
      <w:r>
        <w:rPr>
          <w:rFonts w:hint="eastAsia"/>
          <w:highlight w:val="none"/>
          <w:lang w:val="en-US" w:eastAsia="zh-CN"/>
        </w:rPr>
        <w:t>地块北0.4km处为哈鹿宏基加油站，地块南2km为中山石化加油站。</w:t>
      </w:r>
      <w:r>
        <w:rPr>
          <w:rFonts w:hint="default"/>
          <w:highlight w:val="none"/>
          <w:lang w:val="en-US" w:eastAsia="zh-CN"/>
        </w:rPr>
        <w:t>根据《城市</w:t>
      </w:r>
      <w:r>
        <w:rPr>
          <w:rFonts w:hint="eastAsia"/>
          <w:highlight w:val="none"/>
          <w:lang w:val="en-US" w:eastAsia="zh-CN"/>
        </w:rPr>
        <w:t>综合交通体系规划标准</w:t>
      </w:r>
      <w:r>
        <w:rPr>
          <w:rFonts w:hint="default"/>
          <w:highlight w:val="none"/>
          <w:lang w:val="en-US" w:eastAsia="zh-CN"/>
        </w:rPr>
        <w:t>》及相关国家标准，‌城区公共加油</w:t>
      </w:r>
      <w:r>
        <w:rPr>
          <w:rFonts w:hint="eastAsia"/>
          <w:highlight w:val="none"/>
          <w:lang w:val="en-US" w:eastAsia="zh-CN"/>
        </w:rPr>
        <w:t>加气</w:t>
      </w:r>
      <w:r>
        <w:rPr>
          <w:rFonts w:hint="default"/>
          <w:highlight w:val="none"/>
          <w:lang w:val="en-US" w:eastAsia="zh-CN"/>
        </w:rPr>
        <w:t>站的服务半径宜为</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公里‌，</w:t>
      </w:r>
      <w:r>
        <w:rPr>
          <w:rFonts w:hint="eastAsia"/>
          <w:highlight w:val="none"/>
          <w:lang w:val="en-US" w:eastAsia="zh-CN"/>
        </w:rPr>
        <w:t>公共充换电站的服务半径宜为2.5-4公里，</w:t>
      </w:r>
      <w:r>
        <w:rPr>
          <w:rFonts w:hint="default"/>
          <w:highlight w:val="none"/>
          <w:lang w:val="en-US" w:eastAsia="zh-CN"/>
        </w:rPr>
        <w:t>这一范围综合考虑了车辆行驶需求与土地资源集约利用，确保覆盖效率的同时避免重复建设</w:t>
      </w:r>
      <w:r>
        <w:rPr>
          <w:rFonts w:hint="eastAsia"/>
          <w:highlight w:val="none"/>
          <w:lang w:val="en-US" w:eastAsia="zh-CN"/>
        </w:rPr>
        <w:t>，</w:t>
      </w:r>
      <w:r>
        <w:rPr>
          <w:rFonts w:hint="default"/>
          <w:highlight w:val="none"/>
          <w:lang w:val="en-US" w:eastAsia="zh-CN"/>
        </w:rPr>
        <w:t>地块</w:t>
      </w:r>
      <w:r>
        <w:rPr>
          <w:rFonts w:hint="eastAsia"/>
          <w:highlight w:val="none"/>
          <w:lang w:val="en-US" w:eastAsia="zh-CN"/>
        </w:rPr>
        <w:t>规划为公用设施营业网点用地属于重复建设，不符合规范要求</w:t>
      </w:r>
      <w:r>
        <w:rPr>
          <w:rFonts w:hint="default"/>
          <w:highlight w:val="none"/>
          <w:lang w:val="en-US" w:eastAsia="zh-CN"/>
        </w:rPr>
        <w:t>。现急需对控制性详细规划进行动态更新修改维护。</w:t>
      </w:r>
    </w:p>
    <w:p w14:paraId="2545A60C">
      <w:pPr>
        <w:pStyle w:val="3"/>
        <w:bidi w:val="0"/>
        <w:rPr>
          <w:rFonts w:hint="default"/>
          <w:highlight w:val="none"/>
          <w:lang w:val="en-US" w:eastAsia="zh-CN"/>
        </w:rPr>
      </w:pPr>
      <w:bookmarkStart w:id="25" w:name="_Toc686"/>
      <w:r>
        <w:rPr>
          <w:rFonts w:hint="default"/>
          <w:highlight w:val="none"/>
          <w:lang w:val="en-US" w:eastAsia="zh-CN"/>
        </w:rPr>
        <w:t xml:space="preserve">5.2 </w:t>
      </w:r>
      <w:r>
        <w:rPr>
          <w:rFonts w:hint="eastAsia"/>
          <w:highlight w:val="none"/>
          <w:lang w:val="en-US" w:eastAsia="zh-CN"/>
        </w:rPr>
        <w:t>优化土地资源</w:t>
      </w:r>
      <w:bookmarkEnd w:id="25"/>
    </w:p>
    <w:p w14:paraId="3D1368AA">
      <w:pPr>
        <w:rPr>
          <w:rFonts w:hint="eastAsia"/>
          <w:highlight w:val="none"/>
          <w:lang w:val="en-US" w:eastAsia="zh-CN"/>
        </w:rPr>
      </w:pPr>
      <w:r>
        <w:rPr>
          <w:rFonts w:hint="default"/>
          <w:highlight w:val="none"/>
          <w:lang w:val="en-US" w:eastAsia="zh-CN"/>
        </w:rPr>
        <w:t>本次调整</w:t>
      </w:r>
      <w:r>
        <w:rPr>
          <w:rFonts w:hint="eastAsia"/>
          <w:highlight w:val="none"/>
          <w:lang w:val="en-US" w:eastAsia="zh-CN"/>
        </w:rPr>
        <w:t>尉政土【2021】42号地块</w:t>
      </w:r>
      <w:r>
        <w:rPr>
          <w:rFonts w:hint="default"/>
          <w:highlight w:val="none"/>
          <w:lang w:val="en-US" w:eastAsia="zh-CN"/>
        </w:rPr>
        <w:t>位于</w:t>
      </w:r>
      <w:r>
        <w:rPr>
          <w:rFonts w:hint="eastAsia"/>
          <w:highlight w:val="none"/>
          <w:lang w:val="en-US" w:eastAsia="zh-CN"/>
        </w:rPr>
        <w:t>尉氏县商登北高速口北</w:t>
      </w:r>
      <w:r>
        <w:rPr>
          <w:rFonts w:hint="default"/>
          <w:highlight w:val="none"/>
          <w:lang w:val="en-US" w:eastAsia="zh-CN"/>
        </w:rPr>
        <w:t>。该地块</w:t>
      </w:r>
      <w:r>
        <w:rPr>
          <w:rFonts w:hint="eastAsia"/>
          <w:highlight w:val="none"/>
          <w:lang w:val="en-US" w:eastAsia="zh-CN"/>
        </w:rPr>
        <w:t>在尉氏县土地利用总体规划上为建设用地，在《尉氏县国土空间总体规划（2017-2035）》上南临商登高速，东临开尉路，西、北为木材加工厂，交通便利，地理环境优越。《中共中央关于进一步全面深化改革、推进中国式现代化的决定》提出：“优化城市工商业土地利用，加快发展建设用地二级市场，推动土地混合开发利用、用途合理转换，盘活存量土地和低效用地。”存量土地和低效用地是指已经批准为建设用地但尚未使用的土地，以及现状建设用地中布局散乱、利用粗放、用途不合理的土地等。规划调整后有利于集约节约利用土地，促进城市发展用地从增量依赖向存量挖潜转变。</w:t>
      </w:r>
    </w:p>
    <w:p w14:paraId="211BC49F">
      <w:pPr>
        <w:pStyle w:val="3"/>
        <w:bidi w:val="0"/>
        <w:rPr>
          <w:rFonts w:hint="default"/>
          <w:highlight w:val="none"/>
          <w:lang w:val="en-US" w:eastAsia="zh-CN"/>
        </w:rPr>
      </w:pPr>
      <w:bookmarkStart w:id="26" w:name="_Toc16812"/>
      <w:r>
        <w:rPr>
          <w:rFonts w:hint="default"/>
          <w:highlight w:val="none"/>
          <w:lang w:val="en-US" w:eastAsia="zh-CN"/>
        </w:rPr>
        <w:t xml:space="preserve">5.3 </w:t>
      </w:r>
      <w:r>
        <w:rPr>
          <w:rFonts w:hint="eastAsia"/>
          <w:highlight w:val="none"/>
          <w:lang w:val="en-US" w:eastAsia="zh-CN"/>
        </w:rPr>
        <w:t>优化用地布局</w:t>
      </w:r>
      <w:bookmarkEnd w:id="26"/>
    </w:p>
    <w:p w14:paraId="3821E093">
      <w:pPr>
        <w:rPr>
          <w:rFonts w:hint="default"/>
          <w:highlight w:val="none"/>
          <w:lang w:val="en-US" w:eastAsia="zh-CN"/>
        </w:rPr>
      </w:pPr>
      <w:r>
        <w:rPr>
          <w:rFonts w:hint="eastAsia"/>
          <w:highlight w:val="none"/>
          <w:lang w:val="en-US" w:eastAsia="zh-CN"/>
        </w:rPr>
        <w:t>调整地块位于中心城区北部，城市的边缘，周边交通便利，南有商登高速，东有开尉路，周围以木材厂、种植采摘基地为主，远离居住区，规划为仓储用地有着良好的区位及产业集聚优势，且有一定的发展余地，能较好的满足仓储用地的布局要求。</w:t>
      </w:r>
    </w:p>
    <w:p w14:paraId="5345321F">
      <w:pPr>
        <w:pStyle w:val="2"/>
        <w:numPr>
          <w:ilvl w:val="0"/>
          <w:numId w:val="1"/>
        </w:numPr>
        <w:bidi w:val="0"/>
        <w:ind w:left="0" w:leftChars="0" w:firstLine="883" w:firstLineChars="200"/>
        <w:rPr>
          <w:rFonts w:hint="default"/>
          <w:highlight w:val="none"/>
          <w:lang w:val="en-US" w:eastAsia="zh-CN"/>
        </w:rPr>
      </w:pPr>
      <w:bookmarkStart w:id="27" w:name="_Toc25622"/>
      <w:r>
        <w:rPr>
          <w:rFonts w:hint="default"/>
          <w:highlight w:val="none"/>
          <w:lang w:val="en-US" w:eastAsia="zh-CN"/>
        </w:rPr>
        <w:t>调整的可行性</w:t>
      </w:r>
      <w:bookmarkEnd w:id="27"/>
    </w:p>
    <w:p w14:paraId="2A0A3999">
      <w:pPr>
        <w:pStyle w:val="3"/>
        <w:bidi w:val="0"/>
        <w:rPr>
          <w:rFonts w:hint="default"/>
          <w:highlight w:val="none"/>
          <w:lang w:val="en-US" w:eastAsia="zh-CN"/>
        </w:rPr>
      </w:pPr>
      <w:bookmarkStart w:id="28" w:name="_Toc27672"/>
      <w:r>
        <w:rPr>
          <w:rFonts w:hint="default"/>
          <w:highlight w:val="none"/>
          <w:lang w:val="en-US" w:eastAsia="zh-CN"/>
        </w:rPr>
        <w:t>6.</w:t>
      </w:r>
      <w:r>
        <w:rPr>
          <w:rFonts w:hint="eastAsia"/>
          <w:highlight w:val="none"/>
          <w:lang w:val="en-US" w:eastAsia="zh-CN"/>
        </w:rPr>
        <w:t>1</w:t>
      </w:r>
      <w:r>
        <w:rPr>
          <w:rFonts w:hint="default"/>
          <w:highlight w:val="none"/>
          <w:lang w:val="en-US" w:eastAsia="zh-CN"/>
        </w:rPr>
        <w:t xml:space="preserve"> 城市交通影响评价</w:t>
      </w:r>
      <w:bookmarkEnd w:id="28"/>
    </w:p>
    <w:p w14:paraId="7122A7C4">
      <w:pPr>
        <w:ind w:left="0" w:leftChars="0" w:firstLine="560" w:firstLineChars="200"/>
        <w:rPr>
          <w:rFonts w:hint="default"/>
          <w:highlight w:val="none"/>
          <w:lang w:val="en-US" w:eastAsia="zh-CN"/>
        </w:rPr>
      </w:pPr>
      <w:r>
        <w:rPr>
          <w:rFonts w:hint="default"/>
          <w:highlight w:val="none"/>
          <w:lang w:val="en-US" w:eastAsia="zh-CN"/>
        </w:rPr>
        <w:t>按照</w:t>
      </w:r>
      <w:r>
        <w:rPr>
          <w:rFonts w:hint="eastAsia"/>
          <w:highlight w:val="none"/>
          <w:lang w:val="en-US" w:eastAsia="zh-CN"/>
        </w:rPr>
        <w:t>《尉氏县国土空间总体规划》（2021-2035）</w:t>
      </w:r>
      <w:r>
        <w:rPr>
          <w:rFonts w:hint="default"/>
          <w:highlight w:val="none"/>
          <w:lang w:val="en-US" w:eastAsia="zh-CN"/>
        </w:rPr>
        <w:t>，地块</w:t>
      </w:r>
      <w:r>
        <w:rPr>
          <w:rFonts w:hint="eastAsia"/>
          <w:highlight w:val="none"/>
          <w:lang w:val="en-US" w:eastAsia="zh-CN"/>
        </w:rPr>
        <w:t>临开尉路</w:t>
      </w:r>
      <w:r>
        <w:rPr>
          <w:rFonts w:hint="default"/>
          <w:highlight w:val="none"/>
          <w:lang w:val="en-US" w:eastAsia="zh-CN"/>
        </w:rPr>
        <w:t xml:space="preserve">，其中控制红线宽度为 </w:t>
      </w:r>
      <w:r>
        <w:rPr>
          <w:rFonts w:hint="eastAsia"/>
          <w:highlight w:val="none"/>
          <w:lang w:val="en-US" w:eastAsia="zh-CN"/>
        </w:rPr>
        <w:t>50</w:t>
      </w:r>
      <w:r>
        <w:rPr>
          <w:rFonts w:hint="default"/>
          <w:highlight w:val="none"/>
          <w:lang w:val="en-US" w:eastAsia="zh-CN"/>
        </w:rPr>
        <w:t xml:space="preserve"> 米</w:t>
      </w:r>
      <w:r>
        <w:rPr>
          <w:rFonts w:hint="eastAsia"/>
          <w:highlight w:val="none"/>
          <w:lang w:val="en-US" w:eastAsia="zh-CN"/>
        </w:rPr>
        <w:t>，绿线宽度 10 米。</w:t>
      </w:r>
    </w:p>
    <w:p w14:paraId="06F9032E">
      <w:pPr>
        <w:ind w:left="0" w:leftChars="0" w:firstLine="560" w:firstLineChars="200"/>
        <w:rPr>
          <w:rFonts w:hint="default"/>
          <w:highlight w:val="none"/>
          <w:lang w:val="en-US" w:eastAsia="zh-CN"/>
        </w:rPr>
      </w:pPr>
      <w:r>
        <w:rPr>
          <w:rFonts w:hint="default"/>
          <w:highlight w:val="none"/>
          <w:lang w:val="en-US" w:eastAsia="zh-CN"/>
        </w:rPr>
        <w:t>本次地块用地性质的调整后，该宗地块增加的交通发生量及交通吸引量，对地块周边交通造成的影响有限，是可以通过地块本身和周边道路的交通组织优化来解决的。</w:t>
      </w:r>
    </w:p>
    <w:p w14:paraId="276F537E">
      <w:pPr>
        <w:pStyle w:val="3"/>
        <w:bidi w:val="0"/>
        <w:rPr>
          <w:rFonts w:hint="default"/>
          <w:highlight w:val="none"/>
          <w:lang w:val="en-US" w:eastAsia="zh-CN"/>
        </w:rPr>
      </w:pPr>
      <w:bookmarkStart w:id="29" w:name="_Toc7676"/>
      <w:r>
        <w:rPr>
          <w:rFonts w:hint="default"/>
          <w:highlight w:val="none"/>
          <w:lang w:val="en-US" w:eastAsia="zh-CN"/>
        </w:rPr>
        <w:t>6.</w:t>
      </w:r>
      <w:r>
        <w:rPr>
          <w:rFonts w:hint="eastAsia"/>
          <w:highlight w:val="none"/>
          <w:lang w:val="en-US" w:eastAsia="zh-CN"/>
        </w:rPr>
        <w:t>2</w:t>
      </w:r>
      <w:r>
        <w:rPr>
          <w:rFonts w:hint="default"/>
          <w:highlight w:val="none"/>
          <w:lang w:val="en-US" w:eastAsia="zh-CN"/>
        </w:rPr>
        <w:t xml:space="preserve"> </w:t>
      </w:r>
      <w:r>
        <w:rPr>
          <w:rFonts w:hint="eastAsia"/>
          <w:highlight w:val="none"/>
          <w:lang w:val="en-US" w:eastAsia="zh-CN"/>
        </w:rPr>
        <w:t>建设条件可行性</w:t>
      </w:r>
      <w:r>
        <w:rPr>
          <w:rFonts w:hint="default"/>
          <w:highlight w:val="none"/>
          <w:lang w:val="en-US" w:eastAsia="zh-CN"/>
        </w:rPr>
        <w:t>评价</w:t>
      </w:r>
      <w:bookmarkEnd w:id="29"/>
    </w:p>
    <w:p w14:paraId="71679FF0">
      <w:pPr>
        <w:ind w:left="0" w:leftChars="0" w:firstLine="560" w:firstLineChars="200"/>
        <w:rPr>
          <w:rFonts w:hint="default"/>
          <w:highlight w:val="none"/>
          <w:lang w:val="en-US" w:eastAsia="zh-CN"/>
        </w:rPr>
      </w:pPr>
      <w:r>
        <w:rPr>
          <w:rFonts w:hint="eastAsia"/>
          <w:highlight w:val="none"/>
          <w:lang w:val="en-US" w:eastAsia="zh-CN"/>
        </w:rPr>
        <w:t>拟调整地块地质条件良好，不在地质灾害及洪水淹没范围内，且场地平整，建设条件良好，地块建设对周边地块的影响较小。</w:t>
      </w:r>
    </w:p>
    <w:p w14:paraId="02C956E7">
      <w:pPr>
        <w:pStyle w:val="3"/>
        <w:bidi w:val="0"/>
        <w:rPr>
          <w:rFonts w:hint="default"/>
          <w:highlight w:val="none"/>
          <w:lang w:val="en-US" w:eastAsia="zh-CN"/>
        </w:rPr>
      </w:pPr>
      <w:bookmarkStart w:id="30" w:name="_Toc9093"/>
      <w:r>
        <w:rPr>
          <w:rFonts w:hint="default"/>
          <w:highlight w:val="none"/>
          <w:lang w:val="en-US" w:eastAsia="zh-CN"/>
        </w:rPr>
        <w:t>6.</w:t>
      </w:r>
      <w:r>
        <w:rPr>
          <w:rFonts w:hint="eastAsia"/>
          <w:highlight w:val="none"/>
          <w:lang w:val="en-US" w:eastAsia="zh-CN"/>
        </w:rPr>
        <w:t>3</w:t>
      </w:r>
      <w:r>
        <w:rPr>
          <w:rFonts w:hint="default"/>
          <w:highlight w:val="none"/>
          <w:lang w:val="en-US" w:eastAsia="zh-CN"/>
        </w:rPr>
        <w:t xml:space="preserve"> 市政基础设施承载能力评价</w:t>
      </w:r>
      <w:bookmarkEnd w:id="30"/>
    </w:p>
    <w:p w14:paraId="2FFACF07">
      <w:pPr>
        <w:ind w:left="0" w:leftChars="0" w:firstLine="560" w:firstLineChars="200"/>
        <w:rPr>
          <w:rFonts w:hint="default"/>
          <w:highlight w:val="none"/>
          <w:lang w:val="en-US" w:eastAsia="zh-CN"/>
        </w:rPr>
      </w:pPr>
      <w:r>
        <w:rPr>
          <w:rFonts w:hint="default"/>
          <w:highlight w:val="none"/>
          <w:lang w:val="en-US" w:eastAsia="zh-CN"/>
        </w:rPr>
        <w:t>根据国家相关规范，同时参照现状标准，调整前规划用地为</w:t>
      </w:r>
      <w:r>
        <w:rPr>
          <w:rFonts w:hint="eastAsia"/>
          <w:highlight w:val="none"/>
          <w:lang w:val="en-US" w:eastAsia="zh-CN"/>
        </w:rPr>
        <w:t>公用设施营业网点用地</w:t>
      </w:r>
      <w:r>
        <w:rPr>
          <w:rFonts w:hint="default"/>
          <w:highlight w:val="none"/>
          <w:lang w:val="en-US" w:eastAsia="zh-CN"/>
        </w:rPr>
        <w:t xml:space="preserve">，给水需水量约 </w:t>
      </w:r>
      <w:r>
        <w:rPr>
          <w:rFonts w:hint="eastAsia"/>
          <w:highlight w:val="none"/>
          <w:lang w:val="en-US" w:eastAsia="zh-CN"/>
        </w:rPr>
        <w:t>70.59</w:t>
      </w:r>
      <w:r>
        <w:rPr>
          <w:rFonts w:hint="default"/>
          <w:highlight w:val="none"/>
          <w:lang w:val="en-US" w:eastAsia="zh-CN"/>
        </w:rPr>
        <w:t xml:space="preserve"> 吨/日，污水约 </w:t>
      </w:r>
      <w:r>
        <w:rPr>
          <w:rFonts w:hint="eastAsia"/>
          <w:highlight w:val="none"/>
          <w:lang w:val="en-US" w:eastAsia="zh-CN"/>
        </w:rPr>
        <w:t>60</w:t>
      </w:r>
      <w:r>
        <w:rPr>
          <w:rFonts w:hint="default"/>
          <w:highlight w:val="none"/>
          <w:lang w:val="en-US" w:eastAsia="zh-CN"/>
        </w:rPr>
        <w:t xml:space="preserve"> 吨/日，电力负荷约 </w:t>
      </w:r>
      <w:r>
        <w:rPr>
          <w:rFonts w:hint="eastAsia"/>
          <w:highlight w:val="none"/>
          <w:lang w:val="en-US" w:eastAsia="zh-CN"/>
        </w:rPr>
        <w:t>565</w:t>
      </w:r>
      <w:r>
        <w:rPr>
          <w:rFonts w:hint="default"/>
          <w:highlight w:val="none"/>
          <w:lang w:val="en-US" w:eastAsia="zh-CN"/>
        </w:rPr>
        <w:t xml:space="preserve"> 千瓦，通讯负荷约 </w:t>
      </w:r>
      <w:r>
        <w:rPr>
          <w:rFonts w:hint="eastAsia"/>
          <w:highlight w:val="none"/>
          <w:lang w:val="en-US" w:eastAsia="zh-CN"/>
        </w:rPr>
        <w:t>38</w:t>
      </w:r>
      <w:r>
        <w:rPr>
          <w:rFonts w:hint="default"/>
          <w:highlight w:val="none"/>
          <w:lang w:val="en-US" w:eastAsia="zh-CN"/>
        </w:rPr>
        <w:t xml:space="preserve"> 门。</w:t>
      </w:r>
    </w:p>
    <w:p w14:paraId="2921C028">
      <w:pPr>
        <w:ind w:left="0" w:leftChars="0" w:firstLine="560" w:firstLineChars="200"/>
        <w:rPr>
          <w:rFonts w:hint="default"/>
          <w:highlight w:val="none"/>
          <w:lang w:val="en-US" w:eastAsia="zh-CN"/>
        </w:rPr>
      </w:pPr>
      <w:r>
        <w:rPr>
          <w:rFonts w:hint="default"/>
          <w:highlight w:val="none"/>
          <w:lang w:val="en-US" w:eastAsia="zh-CN"/>
        </w:rPr>
        <w:t>调整后规划用地为</w:t>
      </w:r>
      <w:r>
        <w:rPr>
          <w:rFonts w:hint="eastAsia"/>
          <w:highlight w:val="none"/>
          <w:lang w:val="en-US" w:eastAsia="zh-CN"/>
        </w:rPr>
        <w:t>仓储</w:t>
      </w:r>
      <w:r>
        <w:rPr>
          <w:rFonts w:hint="default"/>
          <w:highlight w:val="none"/>
          <w:lang w:val="en-US" w:eastAsia="zh-CN"/>
        </w:rPr>
        <w:t xml:space="preserve">用地，给水需水量约 </w:t>
      </w:r>
      <w:r>
        <w:rPr>
          <w:rFonts w:hint="eastAsia"/>
          <w:highlight w:val="none"/>
          <w:lang w:val="en-US" w:eastAsia="zh-CN"/>
        </w:rPr>
        <w:t>18.8</w:t>
      </w:r>
      <w:r>
        <w:rPr>
          <w:rFonts w:hint="default"/>
          <w:highlight w:val="none"/>
          <w:lang w:val="en-US" w:eastAsia="zh-CN"/>
        </w:rPr>
        <w:t xml:space="preserve"> 吨/日，污水约 </w:t>
      </w:r>
      <w:r>
        <w:rPr>
          <w:rFonts w:hint="eastAsia"/>
          <w:highlight w:val="none"/>
          <w:lang w:val="en-US" w:eastAsia="zh-CN"/>
        </w:rPr>
        <w:t>16</w:t>
      </w:r>
      <w:r>
        <w:rPr>
          <w:rFonts w:hint="default"/>
          <w:highlight w:val="none"/>
          <w:lang w:val="en-US" w:eastAsia="zh-CN"/>
        </w:rPr>
        <w:t xml:space="preserve"> 吨/日，电力负荷约 </w:t>
      </w:r>
      <w:r>
        <w:rPr>
          <w:rFonts w:hint="eastAsia"/>
          <w:highlight w:val="none"/>
          <w:lang w:val="en-US" w:eastAsia="zh-CN"/>
        </w:rPr>
        <w:t>151</w:t>
      </w:r>
      <w:r>
        <w:rPr>
          <w:rFonts w:hint="default"/>
          <w:highlight w:val="none"/>
          <w:lang w:val="en-US" w:eastAsia="zh-CN"/>
        </w:rPr>
        <w:t xml:space="preserve"> 千瓦，通讯负荷约 </w:t>
      </w:r>
      <w:r>
        <w:rPr>
          <w:rFonts w:hint="eastAsia"/>
          <w:highlight w:val="none"/>
          <w:lang w:val="en-US" w:eastAsia="zh-CN"/>
        </w:rPr>
        <w:t>38</w:t>
      </w:r>
      <w:r>
        <w:rPr>
          <w:rFonts w:hint="default"/>
          <w:highlight w:val="none"/>
          <w:lang w:val="en-US" w:eastAsia="zh-CN"/>
        </w:rPr>
        <w:t xml:space="preserve"> 门。</w:t>
      </w:r>
    </w:p>
    <w:p w14:paraId="46EBE0D7">
      <w:pPr>
        <w:ind w:left="0" w:leftChars="0" w:firstLine="560" w:firstLineChars="200"/>
        <w:rPr>
          <w:rFonts w:hint="default"/>
          <w:highlight w:val="none"/>
          <w:lang w:val="en-US" w:eastAsia="zh-CN"/>
        </w:rPr>
      </w:pPr>
      <w:r>
        <w:rPr>
          <w:rFonts w:hint="default"/>
          <w:highlight w:val="none"/>
          <w:lang w:val="en-US" w:eastAsia="zh-CN"/>
        </w:rPr>
        <w:t>本次用地性质调整后，区域内总体上对给水、排水、电力、通信等基础设施的需求</w:t>
      </w:r>
      <w:r>
        <w:rPr>
          <w:rFonts w:hint="eastAsia"/>
          <w:highlight w:val="none"/>
          <w:lang w:val="en-US" w:eastAsia="zh-CN"/>
        </w:rPr>
        <w:t>变小</w:t>
      </w:r>
      <w:r>
        <w:rPr>
          <w:rFonts w:hint="default"/>
          <w:highlight w:val="none"/>
          <w:lang w:val="en-US" w:eastAsia="zh-CN"/>
        </w:rPr>
        <w:t>，</w:t>
      </w:r>
      <w:r>
        <w:rPr>
          <w:rFonts w:hint="eastAsia"/>
          <w:highlight w:val="none"/>
          <w:lang w:val="en-US" w:eastAsia="zh-CN"/>
        </w:rPr>
        <w:t>《尉氏县国土空间总体规划》（2021-2035）</w:t>
      </w:r>
      <w:r>
        <w:rPr>
          <w:rFonts w:hint="default"/>
          <w:highlight w:val="none"/>
          <w:lang w:val="en-US" w:eastAsia="zh-CN"/>
        </w:rPr>
        <w:t>所确定的市政基础设施完全能满足地块的需求。</w:t>
      </w:r>
    </w:p>
    <w:p w14:paraId="23E635C6">
      <w:pPr>
        <w:ind w:left="0" w:leftChars="0" w:firstLine="560" w:firstLineChars="200"/>
        <w:rPr>
          <w:rFonts w:hint="default"/>
          <w:highlight w:val="green"/>
          <w:lang w:val="en-US" w:eastAsia="zh-CN"/>
        </w:rPr>
      </w:pPr>
    </w:p>
    <w:p w14:paraId="655B3A1D">
      <w:pPr>
        <w:ind w:left="0" w:leftChars="0" w:firstLine="560" w:firstLineChars="200"/>
        <w:rPr>
          <w:rFonts w:hint="default"/>
          <w:highlight w:val="green"/>
          <w:lang w:val="en-US" w:eastAsia="zh-CN"/>
        </w:rPr>
      </w:pPr>
    </w:p>
    <w:p w14:paraId="5E619C11">
      <w:pPr>
        <w:ind w:left="0" w:leftChars="0" w:firstLine="560" w:firstLineChars="200"/>
        <w:rPr>
          <w:rFonts w:hint="default"/>
          <w:highlight w:val="green"/>
          <w:lang w:val="en-US" w:eastAsia="zh-CN"/>
        </w:rPr>
      </w:pPr>
    </w:p>
    <w:p w14:paraId="3E6BB257">
      <w:pPr>
        <w:ind w:left="0" w:leftChars="0" w:firstLine="560" w:firstLineChars="200"/>
        <w:rPr>
          <w:rFonts w:hint="default"/>
          <w:highlight w:val="green"/>
          <w:lang w:val="en-US" w:eastAsia="zh-CN"/>
        </w:rPr>
      </w:pPr>
    </w:p>
    <w:p w14:paraId="7B3F0A0F">
      <w:pPr>
        <w:ind w:left="0" w:leftChars="0" w:firstLine="560" w:firstLineChars="200"/>
        <w:rPr>
          <w:rFonts w:hint="default"/>
          <w:highlight w:val="green"/>
          <w:lang w:val="en-US" w:eastAsia="zh-CN"/>
        </w:rPr>
      </w:pPr>
    </w:p>
    <w:p w14:paraId="52897146">
      <w:pPr>
        <w:ind w:left="0" w:leftChars="0" w:firstLine="560" w:firstLineChars="200"/>
        <w:rPr>
          <w:rFonts w:hint="default"/>
          <w:highlight w:val="green"/>
          <w:lang w:val="en-US" w:eastAsia="zh-CN"/>
        </w:rPr>
      </w:pPr>
    </w:p>
    <w:p w14:paraId="0CD6AAE2">
      <w:pPr>
        <w:ind w:left="0" w:leftChars="0" w:firstLine="560" w:firstLineChars="200"/>
        <w:rPr>
          <w:rFonts w:hint="default"/>
          <w:highlight w:val="green"/>
          <w:lang w:val="en-US" w:eastAsia="zh-CN"/>
        </w:rPr>
      </w:pPr>
    </w:p>
    <w:p w14:paraId="0E532F0C">
      <w:pPr>
        <w:ind w:left="0" w:leftChars="0" w:firstLine="560" w:firstLineChars="200"/>
        <w:rPr>
          <w:rFonts w:hint="default"/>
          <w:highlight w:val="green"/>
          <w:lang w:val="en-US" w:eastAsia="zh-CN"/>
        </w:rPr>
      </w:pPr>
    </w:p>
    <w:p w14:paraId="0BC17743">
      <w:pPr>
        <w:ind w:left="0" w:leftChars="0" w:firstLine="560" w:firstLineChars="200"/>
        <w:rPr>
          <w:rFonts w:hint="default"/>
          <w:highlight w:val="green"/>
          <w:lang w:val="en-US" w:eastAsia="zh-CN"/>
        </w:rPr>
      </w:pPr>
    </w:p>
    <w:p w14:paraId="3966720E">
      <w:pPr>
        <w:pStyle w:val="2"/>
        <w:numPr>
          <w:ilvl w:val="0"/>
          <w:numId w:val="1"/>
        </w:numPr>
        <w:bidi w:val="0"/>
        <w:ind w:left="0" w:leftChars="0" w:firstLine="883" w:firstLineChars="200"/>
        <w:rPr>
          <w:rFonts w:hint="eastAsia"/>
          <w:highlight w:val="none"/>
          <w:lang w:val="en-US" w:eastAsia="zh-CN"/>
        </w:rPr>
      </w:pPr>
      <w:bookmarkStart w:id="31" w:name="_Toc5757"/>
      <w:r>
        <w:rPr>
          <w:rFonts w:hint="eastAsia"/>
          <w:highlight w:val="none"/>
          <w:lang w:val="en-US" w:eastAsia="zh-CN"/>
        </w:rPr>
        <w:t>结论</w:t>
      </w:r>
      <w:bookmarkEnd w:id="31"/>
    </w:p>
    <w:p w14:paraId="3051E539">
      <w:pPr>
        <w:numPr>
          <w:ilvl w:val="0"/>
          <w:numId w:val="0"/>
        </w:numPr>
        <w:ind w:firstLine="560" w:firstLineChars="200"/>
        <w:rPr>
          <w:rFonts w:hint="default"/>
          <w:highlight w:val="none"/>
          <w:lang w:val="en-US" w:eastAsia="zh-CN"/>
        </w:rPr>
      </w:pPr>
      <w:r>
        <w:rPr>
          <w:rFonts w:hint="default"/>
          <w:highlight w:val="none"/>
          <w:lang w:val="en-US" w:eastAsia="zh-CN"/>
        </w:rPr>
        <w:t>为确保地块的顺利开发，本着高度社会责任感，根据《中华人民共和国土地管理法》、《中华人民共和国城乡规划法》等法律、法规及文件的有关规定，如实向尉氏县政府及有关部门提出申请。</w:t>
      </w:r>
    </w:p>
    <w:p w14:paraId="6D42D07A">
      <w:pPr>
        <w:numPr>
          <w:ilvl w:val="0"/>
          <w:numId w:val="0"/>
        </w:numPr>
        <w:ind w:firstLine="560" w:firstLineChars="200"/>
        <w:rPr>
          <w:rFonts w:hint="default"/>
          <w:highlight w:val="none"/>
          <w:lang w:val="en-US" w:eastAsia="zh-CN"/>
        </w:rPr>
      </w:pPr>
      <w:r>
        <w:rPr>
          <w:rFonts w:hint="default"/>
          <w:highlight w:val="none"/>
          <w:lang w:val="en-US" w:eastAsia="zh-CN"/>
        </w:rPr>
        <w:t>调整修改后，对基础设施和公共服务设施造成的影响可以忽略不计，并产生更多的是积极的正面的效益。本次用地性质调整符合国家的土地政策、</w:t>
      </w:r>
      <w:r>
        <w:rPr>
          <w:rFonts w:hint="eastAsia"/>
          <w:highlight w:val="none"/>
          <w:lang w:val="en-US" w:eastAsia="zh-CN"/>
        </w:rPr>
        <w:t>《尉氏县国土空间总体规划》（2021-2035）</w:t>
      </w:r>
      <w:r>
        <w:rPr>
          <w:rFonts w:hint="default"/>
          <w:highlight w:val="none"/>
          <w:lang w:val="en-US" w:eastAsia="zh-CN"/>
        </w:rPr>
        <w:t>和城市规划相关规范的要求，本报告认为地块用地性质的调整是必要且可行的。</w:t>
      </w:r>
    </w:p>
    <w:p w14:paraId="0C33BB70">
      <w:pPr>
        <w:numPr>
          <w:ilvl w:val="0"/>
          <w:numId w:val="0"/>
        </w:numPr>
        <w:ind w:firstLine="560" w:firstLineChars="200"/>
        <w:rPr>
          <w:rFonts w:hint="default"/>
          <w:highlight w:val="green"/>
          <w:lang w:val="en-US" w:eastAsia="zh-CN"/>
        </w:rPr>
      </w:pPr>
    </w:p>
    <w:p w14:paraId="7A51CBD5">
      <w:pPr>
        <w:numPr>
          <w:ilvl w:val="0"/>
          <w:numId w:val="0"/>
        </w:numPr>
        <w:ind w:firstLine="560" w:firstLineChars="200"/>
        <w:rPr>
          <w:rFonts w:hint="default"/>
          <w:highlight w:val="green"/>
          <w:lang w:val="en-US" w:eastAsia="zh-CN"/>
        </w:rPr>
      </w:pPr>
    </w:p>
    <w:p w14:paraId="517AD96E">
      <w:pPr>
        <w:numPr>
          <w:ilvl w:val="0"/>
          <w:numId w:val="0"/>
        </w:numPr>
        <w:ind w:firstLine="560" w:firstLineChars="200"/>
        <w:rPr>
          <w:rFonts w:hint="default"/>
          <w:highlight w:val="green"/>
          <w:lang w:val="en-US" w:eastAsia="zh-CN"/>
        </w:rPr>
      </w:pPr>
    </w:p>
    <w:p w14:paraId="2EFD7AB6">
      <w:pPr>
        <w:numPr>
          <w:ilvl w:val="0"/>
          <w:numId w:val="0"/>
        </w:numPr>
        <w:ind w:firstLine="560" w:firstLineChars="200"/>
        <w:rPr>
          <w:rFonts w:hint="default"/>
          <w:highlight w:val="green"/>
          <w:lang w:val="en-US" w:eastAsia="zh-CN"/>
        </w:rPr>
      </w:pPr>
    </w:p>
    <w:p w14:paraId="7D7A6DEE">
      <w:pPr>
        <w:numPr>
          <w:ilvl w:val="0"/>
          <w:numId w:val="0"/>
        </w:numPr>
        <w:ind w:firstLine="560" w:firstLineChars="200"/>
        <w:rPr>
          <w:rFonts w:hint="default"/>
          <w:highlight w:val="green"/>
          <w:lang w:val="en-US" w:eastAsia="zh-CN"/>
        </w:rPr>
      </w:pPr>
    </w:p>
    <w:p w14:paraId="4F471A43">
      <w:pPr>
        <w:numPr>
          <w:ilvl w:val="0"/>
          <w:numId w:val="0"/>
        </w:numPr>
        <w:ind w:firstLine="560" w:firstLineChars="200"/>
        <w:rPr>
          <w:rFonts w:hint="default"/>
          <w:highlight w:val="green"/>
          <w:lang w:val="en-US" w:eastAsia="zh-CN"/>
        </w:rPr>
      </w:pPr>
    </w:p>
    <w:p w14:paraId="05336E49">
      <w:pPr>
        <w:numPr>
          <w:ilvl w:val="0"/>
          <w:numId w:val="0"/>
        </w:numPr>
        <w:ind w:firstLine="560" w:firstLineChars="200"/>
        <w:rPr>
          <w:rFonts w:hint="default"/>
          <w:highlight w:val="green"/>
          <w:lang w:val="en-US" w:eastAsia="zh-CN"/>
        </w:rPr>
      </w:pPr>
    </w:p>
    <w:p w14:paraId="5A8CA7C4">
      <w:pPr>
        <w:numPr>
          <w:ilvl w:val="0"/>
          <w:numId w:val="0"/>
        </w:numPr>
        <w:ind w:firstLine="560" w:firstLineChars="200"/>
        <w:rPr>
          <w:rFonts w:hint="default"/>
          <w:highlight w:val="green"/>
          <w:lang w:val="en-US" w:eastAsia="zh-CN"/>
        </w:rPr>
      </w:pPr>
    </w:p>
    <w:p w14:paraId="1D10B30F">
      <w:pPr>
        <w:numPr>
          <w:ilvl w:val="0"/>
          <w:numId w:val="0"/>
        </w:numPr>
        <w:ind w:firstLine="560" w:firstLineChars="200"/>
        <w:rPr>
          <w:rFonts w:hint="default"/>
          <w:highlight w:val="green"/>
          <w:lang w:val="en-US" w:eastAsia="zh-CN"/>
        </w:rPr>
      </w:pPr>
    </w:p>
    <w:p w14:paraId="67514302">
      <w:pPr>
        <w:numPr>
          <w:ilvl w:val="0"/>
          <w:numId w:val="0"/>
        </w:numPr>
        <w:ind w:firstLine="560" w:firstLineChars="200"/>
        <w:rPr>
          <w:rFonts w:hint="default"/>
          <w:highlight w:val="green"/>
          <w:lang w:val="en-US" w:eastAsia="zh-CN"/>
        </w:rPr>
      </w:pPr>
    </w:p>
    <w:p w14:paraId="47BC5D97">
      <w:pPr>
        <w:numPr>
          <w:ilvl w:val="0"/>
          <w:numId w:val="0"/>
        </w:numPr>
        <w:ind w:firstLine="560" w:firstLineChars="200"/>
        <w:rPr>
          <w:rFonts w:hint="default"/>
          <w:highlight w:val="green"/>
          <w:lang w:val="en-US" w:eastAsia="zh-CN"/>
        </w:rPr>
      </w:pPr>
    </w:p>
    <w:p w14:paraId="4F8E4B21">
      <w:pPr>
        <w:numPr>
          <w:ilvl w:val="0"/>
          <w:numId w:val="0"/>
        </w:numPr>
        <w:ind w:firstLine="560" w:firstLineChars="200"/>
        <w:rPr>
          <w:rFonts w:hint="default"/>
          <w:highlight w:val="green"/>
          <w:lang w:val="en-US" w:eastAsia="zh-CN"/>
        </w:rPr>
      </w:pPr>
    </w:p>
    <w:p w14:paraId="30890D12">
      <w:pPr>
        <w:numPr>
          <w:ilvl w:val="0"/>
          <w:numId w:val="0"/>
        </w:numPr>
        <w:rPr>
          <w:rFonts w:hint="default"/>
          <w:highlight w:val="green"/>
          <w:lang w:val="en-US" w:eastAsia="zh-CN"/>
        </w:rPr>
      </w:pPr>
    </w:p>
    <w:p w14:paraId="1F862BD1">
      <w:pPr>
        <w:pStyle w:val="4"/>
        <w:bidi w:val="0"/>
        <w:rPr>
          <w:rFonts w:hint="default"/>
          <w:highlight w:val="none"/>
          <w:lang w:val="en-US" w:eastAsia="zh-CN"/>
        </w:rPr>
      </w:pPr>
      <w:r>
        <w:rPr>
          <w:rFonts w:hint="default"/>
          <w:highlight w:val="none"/>
          <w:lang w:val="en-US" w:eastAsia="zh-CN"/>
        </w:rPr>
        <w:t xml:space="preserve">附件 </w:t>
      </w:r>
      <w:r>
        <w:rPr>
          <w:rFonts w:hint="eastAsia"/>
          <w:highlight w:val="none"/>
          <w:lang w:val="en-US" w:eastAsia="zh-CN"/>
        </w:rPr>
        <w:t>1</w:t>
      </w:r>
      <w:r>
        <w:rPr>
          <w:rFonts w:hint="default"/>
          <w:highlight w:val="none"/>
          <w:lang w:val="en-US" w:eastAsia="zh-CN"/>
        </w:rPr>
        <w:t xml:space="preserve"> 图纸</w:t>
      </w:r>
    </w:p>
    <w:p w14:paraId="7DA49797">
      <w:pPr>
        <w:numPr>
          <w:ilvl w:val="0"/>
          <w:numId w:val="0"/>
        </w:numPr>
        <w:ind w:firstLine="560" w:firstLineChars="200"/>
        <w:rPr>
          <w:rFonts w:hint="default"/>
          <w:highlight w:val="none"/>
          <w:lang w:val="en-US" w:eastAsia="zh-CN"/>
        </w:rPr>
      </w:pPr>
      <w:r>
        <w:rPr>
          <w:rFonts w:hint="default"/>
          <w:highlight w:val="none"/>
          <w:lang w:val="en-US" w:eastAsia="zh-CN"/>
        </w:rPr>
        <w:t>图纸目录</w:t>
      </w:r>
    </w:p>
    <w:p w14:paraId="630AA1A4">
      <w:pPr>
        <w:numPr>
          <w:ilvl w:val="0"/>
          <w:numId w:val="0"/>
        </w:numPr>
        <w:ind w:firstLine="560" w:firstLineChars="200"/>
        <w:rPr>
          <w:rFonts w:hint="default"/>
          <w:highlight w:val="none"/>
          <w:lang w:val="en-US" w:eastAsia="zh-CN"/>
        </w:rPr>
      </w:pPr>
      <w:r>
        <w:rPr>
          <w:rFonts w:hint="default"/>
          <w:highlight w:val="none"/>
          <w:lang w:val="en-US" w:eastAsia="zh-CN"/>
        </w:rPr>
        <w:t>1、区位图</w:t>
      </w:r>
    </w:p>
    <w:p w14:paraId="09726080">
      <w:pPr>
        <w:numPr>
          <w:ilvl w:val="0"/>
          <w:numId w:val="0"/>
        </w:numPr>
        <w:ind w:firstLine="560" w:firstLineChars="200"/>
        <w:rPr>
          <w:rFonts w:hint="default"/>
          <w:highlight w:val="none"/>
          <w:lang w:val="en-US" w:eastAsia="zh-CN"/>
        </w:rPr>
      </w:pPr>
      <w:r>
        <w:rPr>
          <w:rFonts w:hint="default"/>
          <w:highlight w:val="none"/>
          <w:lang w:val="en-US" w:eastAsia="zh-CN"/>
        </w:rPr>
        <w:t>2、周围关系分析图</w:t>
      </w:r>
    </w:p>
    <w:p w14:paraId="2D8240EE">
      <w:pPr>
        <w:numPr>
          <w:ilvl w:val="0"/>
          <w:numId w:val="0"/>
        </w:numPr>
        <w:ind w:firstLine="560" w:firstLineChars="200"/>
        <w:rPr>
          <w:rFonts w:hint="default"/>
          <w:highlight w:val="none"/>
          <w:lang w:val="en-US" w:eastAsia="zh-CN"/>
        </w:rPr>
      </w:pPr>
      <w:r>
        <w:rPr>
          <w:rFonts w:hint="default"/>
          <w:highlight w:val="none"/>
          <w:lang w:val="en-US" w:eastAsia="zh-CN"/>
        </w:rPr>
        <w:t>3、中心城区用地规划图</w:t>
      </w:r>
    </w:p>
    <w:p w14:paraId="08268286">
      <w:pPr>
        <w:numPr>
          <w:ilvl w:val="0"/>
          <w:numId w:val="0"/>
        </w:numPr>
        <w:ind w:firstLine="560" w:firstLineChars="200"/>
        <w:rPr>
          <w:rFonts w:hint="default"/>
          <w:highlight w:val="none"/>
          <w:lang w:val="en-US" w:eastAsia="zh-CN"/>
        </w:rPr>
      </w:pPr>
      <w:r>
        <w:rPr>
          <w:rFonts w:hint="default"/>
          <w:highlight w:val="none"/>
          <w:lang w:val="en-US" w:eastAsia="zh-CN"/>
        </w:rPr>
        <w:t>4、中心城区</w:t>
      </w:r>
      <w:r>
        <w:rPr>
          <w:rFonts w:hint="eastAsia"/>
          <w:highlight w:val="none"/>
          <w:lang w:val="en-US" w:eastAsia="zh-CN"/>
        </w:rPr>
        <w:t>空间结构规划</w:t>
      </w:r>
      <w:r>
        <w:rPr>
          <w:rFonts w:hint="default"/>
          <w:highlight w:val="none"/>
          <w:lang w:val="en-US" w:eastAsia="zh-CN"/>
        </w:rPr>
        <w:t>图</w:t>
      </w:r>
    </w:p>
    <w:p w14:paraId="2592A50B">
      <w:pPr>
        <w:numPr>
          <w:ilvl w:val="0"/>
          <w:numId w:val="0"/>
        </w:numPr>
        <w:ind w:firstLine="560" w:firstLineChars="200"/>
        <w:rPr>
          <w:rFonts w:hint="default"/>
          <w:highlight w:val="none"/>
          <w:lang w:val="en-US" w:eastAsia="zh-CN"/>
        </w:rPr>
      </w:pPr>
      <w:r>
        <w:rPr>
          <w:rFonts w:hint="default"/>
          <w:highlight w:val="none"/>
          <w:lang w:val="en-US" w:eastAsia="zh-CN"/>
        </w:rPr>
        <w:t>5、中心城区道路系统规划图</w:t>
      </w:r>
    </w:p>
    <w:p w14:paraId="66745652">
      <w:pPr>
        <w:numPr>
          <w:ilvl w:val="0"/>
          <w:numId w:val="0"/>
        </w:numPr>
        <w:ind w:firstLine="560" w:firstLineChars="200"/>
        <w:rPr>
          <w:rFonts w:hint="default"/>
          <w:highlight w:val="none"/>
          <w:lang w:val="en-US" w:eastAsia="zh-CN"/>
        </w:rPr>
      </w:pPr>
      <w:r>
        <w:rPr>
          <w:rFonts w:hint="default"/>
          <w:highlight w:val="none"/>
          <w:lang w:val="en-US" w:eastAsia="zh-CN"/>
        </w:rPr>
        <w:t>6、地块用地布局</w:t>
      </w:r>
      <w:r>
        <w:rPr>
          <w:rFonts w:hint="eastAsia"/>
          <w:highlight w:val="none"/>
          <w:lang w:val="en-US" w:eastAsia="zh-CN"/>
        </w:rPr>
        <w:t>规划</w:t>
      </w:r>
      <w:r>
        <w:rPr>
          <w:rFonts w:hint="default"/>
          <w:highlight w:val="none"/>
          <w:lang w:val="en-US" w:eastAsia="zh-CN"/>
        </w:rPr>
        <w:t>图</w:t>
      </w:r>
    </w:p>
    <w:p w14:paraId="69B79512">
      <w:pPr>
        <w:numPr>
          <w:ilvl w:val="0"/>
          <w:numId w:val="0"/>
        </w:numPr>
        <w:ind w:firstLine="560" w:firstLineChars="200"/>
        <w:rPr>
          <w:rFonts w:hint="default"/>
          <w:highlight w:val="none"/>
          <w:lang w:val="en-US" w:eastAsia="zh-CN"/>
        </w:rPr>
      </w:pPr>
      <w:r>
        <w:rPr>
          <w:rFonts w:hint="default"/>
          <w:highlight w:val="none"/>
          <w:lang w:val="en-US" w:eastAsia="zh-CN"/>
        </w:rPr>
        <w:t>7、地块道路系统规划图</w:t>
      </w:r>
    </w:p>
    <w:p w14:paraId="57E33052">
      <w:pPr>
        <w:numPr>
          <w:ilvl w:val="0"/>
          <w:numId w:val="0"/>
        </w:numPr>
        <w:ind w:firstLine="560" w:firstLineChars="200"/>
        <w:rPr>
          <w:rFonts w:hint="default"/>
          <w:highlight w:val="none"/>
          <w:lang w:val="en-US" w:eastAsia="zh-CN"/>
        </w:rPr>
      </w:pPr>
      <w:r>
        <w:rPr>
          <w:rFonts w:hint="default"/>
          <w:highlight w:val="none"/>
          <w:lang w:val="en-US" w:eastAsia="zh-CN"/>
        </w:rPr>
        <w:t>8、地块原图则</w:t>
      </w:r>
    </w:p>
    <w:p w14:paraId="3F0136BF">
      <w:pPr>
        <w:numPr>
          <w:ilvl w:val="0"/>
          <w:numId w:val="0"/>
        </w:numPr>
        <w:ind w:firstLine="560" w:firstLineChars="200"/>
        <w:rPr>
          <w:rFonts w:hint="default"/>
          <w:highlight w:val="none"/>
          <w:lang w:val="en-US" w:eastAsia="zh-CN"/>
        </w:rPr>
      </w:pPr>
    </w:p>
    <w:p w14:paraId="2A5D071E">
      <w:pPr>
        <w:numPr>
          <w:ilvl w:val="0"/>
          <w:numId w:val="0"/>
        </w:numPr>
        <w:ind w:firstLine="560" w:firstLineChars="200"/>
        <w:rPr>
          <w:rFonts w:hint="default"/>
          <w:highlight w:val="none"/>
          <w:lang w:val="en-US" w:eastAsia="zh-CN"/>
        </w:rPr>
      </w:pPr>
    </w:p>
    <w:p w14:paraId="3E70C7F6">
      <w:pPr>
        <w:numPr>
          <w:ilvl w:val="0"/>
          <w:numId w:val="0"/>
        </w:numPr>
        <w:ind w:firstLine="560" w:firstLineChars="200"/>
        <w:rPr>
          <w:rFonts w:hint="default"/>
          <w:highlight w:val="none"/>
          <w:lang w:val="en-US" w:eastAsia="zh-CN"/>
        </w:rPr>
      </w:pPr>
    </w:p>
    <w:p w14:paraId="511E02E9">
      <w:pPr>
        <w:numPr>
          <w:ilvl w:val="0"/>
          <w:numId w:val="0"/>
        </w:numPr>
        <w:ind w:firstLine="560" w:firstLineChars="200"/>
        <w:rPr>
          <w:rFonts w:hint="default"/>
          <w:highlight w:val="none"/>
          <w:lang w:val="en-US" w:eastAsia="zh-CN"/>
        </w:rPr>
      </w:pPr>
    </w:p>
    <w:p w14:paraId="48F631C3">
      <w:pPr>
        <w:numPr>
          <w:ilvl w:val="0"/>
          <w:numId w:val="0"/>
        </w:numPr>
        <w:ind w:firstLine="560" w:firstLineChars="200"/>
        <w:rPr>
          <w:rFonts w:hint="default"/>
          <w:highlight w:val="none"/>
          <w:lang w:val="en-US" w:eastAsia="zh-CN"/>
        </w:rPr>
      </w:pPr>
    </w:p>
    <w:p w14:paraId="5366D6FC">
      <w:pPr>
        <w:numPr>
          <w:ilvl w:val="0"/>
          <w:numId w:val="0"/>
        </w:numPr>
        <w:ind w:firstLine="560" w:firstLineChars="200"/>
        <w:rPr>
          <w:rFonts w:hint="default"/>
          <w:highlight w:val="none"/>
          <w:lang w:val="en-US" w:eastAsia="zh-CN"/>
        </w:rPr>
      </w:pPr>
    </w:p>
    <w:p w14:paraId="39E8E117">
      <w:pPr>
        <w:numPr>
          <w:ilvl w:val="0"/>
          <w:numId w:val="0"/>
        </w:numPr>
        <w:ind w:firstLine="560" w:firstLineChars="200"/>
        <w:rPr>
          <w:rFonts w:hint="default"/>
          <w:highlight w:val="none"/>
          <w:lang w:val="en-US" w:eastAsia="zh-CN"/>
        </w:rPr>
      </w:pPr>
    </w:p>
    <w:p w14:paraId="184FE54C">
      <w:pPr>
        <w:numPr>
          <w:ilvl w:val="0"/>
          <w:numId w:val="0"/>
        </w:numPr>
        <w:ind w:firstLine="560" w:firstLineChars="200"/>
        <w:rPr>
          <w:rFonts w:hint="default"/>
          <w:highlight w:val="none"/>
          <w:lang w:val="en-US" w:eastAsia="zh-CN"/>
        </w:rPr>
      </w:pPr>
    </w:p>
    <w:p w14:paraId="7DBD4DC8">
      <w:pPr>
        <w:numPr>
          <w:ilvl w:val="0"/>
          <w:numId w:val="0"/>
        </w:numPr>
        <w:ind w:firstLine="560" w:firstLineChars="200"/>
        <w:rPr>
          <w:rFonts w:hint="default"/>
          <w:highlight w:val="none"/>
          <w:lang w:val="en-US" w:eastAsia="zh-CN"/>
        </w:rPr>
      </w:pPr>
    </w:p>
    <w:p w14:paraId="6DDDECF0">
      <w:pPr>
        <w:numPr>
          <w:ilvl w:val="0"/>
          <w:numId w:val="0"/>
        </w:numPr>
        <w:ind w:firstLine="560" w:firstLineChars="200"/>
        <w:rPr>
          <w:rFonts w:hint="default"/>
          <w:highlight w:val="none"/>
          <w:lang w:val="en-US" w:eastAsia="zh-CN"/>
        </w:rPr>
      </w:pPr>
    </w:p>
    <w:p w14:paraId="5EA43EEB">
      <w:pPr>
        <w:numPr>
          <w:ilvl w:val="0"/>
          <w:numId w:val="0"/>
        </w:numPr>
        <w:ind w:firstLine="560" w:firstLineChars="200"/>
        <w:rPr>
          <w:rFonts w:hint="default"/>
          <w:highlight w:val="none"/>
          <w:lang w:val="en-US" w:eastAsia="zh-CN"/>
        </w:rPr>
      </w:pPr>
    </w:p>
    <w:p w14:paraId="5A726C6A">
      <w:pPr>
        <w:numPr>
          <w:ilvl w:val="0"/>
          <w:numId w:val="0"/>
        </w:numPr>
        <w:ind w:firstLine="560" w:firstLineChars="200"/>
        <w:rPr>
          <w:rFonts w:hint="default"/>
          <w:highlight w:val="none"/>
          <w:lang w:val="en-US" w:eastAsia="zh-CN"/>
        </w:rPr>
      </w:pPr>
    </w:p>
    <w:p w14:paraId="0CD76E9D">
      <w:pPr>
        <w:numPr>
          <w:ilvl w:val="0"/>
          <w:numId w:val="0"/>
        </w:numPr>
        <w:ind w:firstLine="560" w:firstLineChars="200"/>
        <w:rPr>
          <w:rFonts w:hint="default"/>
          <w:highlight w:val="none"/>
          <w:lang w:val="en-US" w:eastAsia="zh-CN"/>
        </w:rPr>
      </w:pPr>
      <w:r>
        <w:rPr>
          <w:rFonts w:hint="default"/>
          <w:highlight w:val="none"/>
          <w:lang w:val="en-US" w:eastAsia="zh-CN"/>
        </w:rPr>
        <w:t>1、区位图</w:t>
      </w:r>
    </w:p>
    <w:p w14:paraId="429AFC2F">
      <w:pPr>
        <w:numPr>
          <w:ilvl w:val="0"/>
          <w:numId w:val="0"/>
        </w:numPr>
        <w:ind w:firstLine="560" w:firstLineChars="200"/>
        <w:rPr>
          <w:rFonts w:hint="default"/>
          <w:highlight w:val="none"/>
          <w:lang w:val="en-US" w:eastAsia="zh-CN"/>
        </w:rPr>
      </w:pPr>
      <w:r>
        <w:rPr>
          <w:rFonts w:hint="default"/>
          <w:highlight w:val="none"/>
          <w:lang w:val="en-US" w:eastAsia="zh-CN"/>
        </w:rPr>
        <w:drawing>
          <wp:inline distT="0" distB="0" distL="114300" distR="114300">
            <wp:extent cx="5261610" cy="3720465"/>
            <wp:effectExtent l="0" t="0" r="15240" b="13335"/>
            <wp:docPr id="11" name="图片 11" descr="E:/0-2025年工作/2025.4补控规/2025.9.5商登高速开尉路西北地块论证报告/成果/01附件/1.区位图.jpg1.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0-2025年工作/2025.4补控规/2025.9.5商登高速开尉路西北地块论证报告/成果/01附件/1.区位图.jpg1.区位图"/>
                    <pic:cNvPicPr>
                      <a:picLocks noChangeAspect="1"/>
                    </pic:cNvPicPr>
                  </pic:nvPicPr>
                  <pic:blipFill>
                    <a:blip r:embed="rId15"/>
                    <a:srcRect t="6" b="6"/>
                    <a:stretch>
                      <a:fillRect/>
                    </a:stretch>
                  </pic:blipFill>
                  <pic:spPr>
                    <a:xfrm>
                      <a:off x="0" y="0"/>
                      <a:ext cx="5261610" cy="3720465"/>
                    </a:xfrm>
                    <a:prstGeom prst="rect">
                      <a:avLst/>
                    </a:prstGeom>
                  </pic:spPr>
                </pic:pic>
              </a:graphicData>
            </a:graphic>
          </wp:inline>
        </w:drawing>
      </w:r>
    </w:p>
    <w:p w14:paraId="546CB68B">
      <w:pPr>
        <w:numPr>
          <w:ilvl w:val="0"/>
          <w:numId w:val="0"/>
        </w:numPr>
        <w:ind w:firstLine="560" w:firstLineChars="200"/>
        <w:rPr>
          <w:rFonts w:hint="default"/>
          <w:highlight w:val="none"/>
          <w:lang w:val="en-US" w:eastAsia="zh-CN"/>
        </w:rPr>
      </w:pPr>
      <w:r>
        <w:rPr>
          <w:rFonts w:hint="default"/>
          <w:highlight w:val="none"/>
          <w:lang w:val="en-US" w:eastAsia="zh-CN"/>
        </w:rPr>
        <w:t>2、周围关系分析图</w:t>
      </w:r>
    </w:p>
    <w:p w14:paraId="3BF0578B">
      <w:pPr>
        <w:numPr>
          <w:ilvl w:val="0"/>
          <w:numId w:val="0"/>
        </w:numPr>
        <w:ind w:firstLine="560" w:firstLineChars="200"/>
        <w:rPr>
          <w:rFonts w:hint="default"/>
          <w:highlight w:val="none"/>
          <w:lang w:val="en-US" w:eastAsia="zh-CN"/>
        </w:rPr>
      </w:pPr>
      <w:r>
        <w:rPr>
          <w:rFonts w:hint="default"/>
          <w:highlight w:val="none"/>
          <w:lang w:val="en-US" w:eastAsia="zh-CN"/>
        </w:rPr>
        <w:drawing>
          <wp:inline distT="0" distB="0" distL="114300" distR="114300">
            <wp:extent cx="5200650" cy="3677920"/>
            <wp:effectExtent l="0" t="0" r="0" b="17780"/>
            <wp:docPr id="17" name="图片 17" descr="E:/0-2025年工作/2025.4补控规/2025.9.5商登高速开尉路西北地块论证报告/成果/01附件/2.周围关系分析图.jpg2.周围关系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0-2025年工作/2025.4补控规/2025.9.5商登高速开尉路西北地块论证报告/成果/01附件/2.周围关系分析图.jpg2.周围关系分析图"/>
                    <pic:cNvPicPr>
                      <a:picLocks noChangeAspect="1"/>
                    </pic:cNvPicPr>
                  </pic:nvPicPr>
                  <pic:blipFill>
                    <a:blip r:embed="rId16"/>
                    <a:srcRect l="9" r="9"/>
                    <a:stretch>
                      <a:fillRect/>
                    </a:stretch>
                  </pic:blipFill>
                  <pic:spPr>
                    <a:xfrm>
                      <a:off x="0" y="0"/>
                      <a:ext cx="5200650" cy="3677920"/>
                    </a:xfrm>
                    <a:prstGeom prst="rect">
                      <a:avLst/>
                    </a:prstGeom>
                  </pic:spPr>
                </pic:pic>
              </a:graphicData>
            </a:graphic>
          </wp:inline>
        </w:drawing>
      </w:r>
    </w:p>
    <w:p w14:paraId="4604AE18">
      <w:pPr>
        <w:numPr>
          <w:ilvl w:val="0"/>
          <w:numId w:val="0"/>
        </w:numPr>
        <w:ind w:firstLine="560" w:firstLineChars="200"/>
        <w:rPr>
          <w:rFonts w:hint="default"/>
          <w:highlight w:val="none"/>
          <w:lang w:val="en-US" w:eastAsia="zh-CN"/>
        </w:rPr>
      </w:pPr>
    </w:p>
    <w:p w14:paraId="3664B18B">
      <w:pPr>
        <w:numPr>
          <w:ilvl w:val="0"/>
          <w:numId w:val="0"/>
        </w:numPr>
        <w:ind w:firstLine="560" w:firstLineChars="200"/>
        <w:rPr>
          <w:rFonts w:hint="default"/>
          <w:highlight w:val="none"/>
          <w:lang w:val="en-US" w:eastAsia="zh-CN"/>
        </w:rPr>
      </w:pPr>
      <w:r>
        <w:rPr>
          <w:rFonts w:hint="default"/>
          <w:highlight w:val="none"/>
          <w:lang w:val="en-US" w:eastAsia="zh-CN"/>
        </w:rPr>
        <w:t>3、中心城区用地规划图</w:t>
      </w:r>
    </w:p>
    <w:p w14:paraId="4592A810">
      <w:pPr>
        <w:numPr>
          <w:ilvl w:val="0"/>
          <w:numId w:val="0"/>
        </w:numPr>
        <w:ind w:firstLine="560" w:firstLineChars="200"/>
        <w:rPr>
          <w:rFonts w:hint="default"/>
          <w:highlight w:val="none"/>
          <w:lang w:val="en-US" w:eastAsia="zh-CN"/>
        </w:rPr>
      </w:pPr>
      <w:r>
        <w:rPr>
          <w:rFonts w:hint="default"/>
          <w:highlight w:val="none"/>
          <w:lang w:val="en-US" w:eastAsia="zh-CN"/>
        </w:rPr>
        <w:drawing>
          <wp:inline distT="0" distB="0" distL="114300" distR="114300">
            <wp:extent cx="5260340" cy="3721735"/>
            <wp:effectExtent l="0" t="0" r="16510" b="12065"/>
            <wp:docPr id="18" name="图片 18" descr="E:/0-2025年工作/2025.4补控规/2025.9.5商登高速开尉路西北地块论证报告/成果/01附件/3.中心城区用地规划图.jpg3.中心城区用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0-2025年工作/2025.4补控规/2025.9.5商登高速开尉路西北地块论证报告/成果/01附件/3.中心城区用地规划图.jpg3.中心城区用地规划图"/>
                    <pic:cNvPicPr>
                      <a:picLocks noChangeAspect="1"/>
                    </pic:cNvPicPr>
                  </pic:nvPicPr>
                  <pic:blipFill>
                    <a:blip r:embed="rId17"/>
                    <a:srcRect t="6" b="6"/>
                    <a:stretch>
                      <a:fillRect/>
                    </a:stretch>
                  </pic:blipFill>
                  <pic:spPr>
                    <a:xfrm>
                      <a:off x="0" y="0"/>
                      <a:ext cx="5260340" cy="3721735"/>
                    </a:xfrm>
                    <a:prstGeom prst="rect">
                      <a:avLst/>
                    </a:prstGeom>
                  </pic:spPr>
                </pic:pic>
              </a:graphicData>
            </a:graphic>
          </wp:inline>
        </w:drawing>
      </w:r>
    </w:p>
    <w:p w14:paraId="19F37D61">
      <w:pPr>
        <w:numPr>
          <w:ilvl w:val="0"/>
          <w:numId w:val="0"/>
        </w:numPr>
        <w:ind w:firstLine="560" w:firstLineChars="200"/>
        <w:rPr>
          <w:rFonts w:hint="default"/>
          <w:highlight w:val="none"/>
          <w:lang w:val="en-US" w:eastAsia="zh-CN"/>
        </w:rPr>
      </w:pPr>
      <w:r>
        <w:rPr>
          <w:rFonts w:hint="default"/>
          <w:highlight w:val="none"/>
          <w:lang w:val="en-US" w:eastAsia="zh-CN"/>
        </w:rPr>
        <w:t>4、中心城区</w:t>
      </w:r>
      <w:r>
        <w:rPr>
          <w:rFonts w:hint="eastAsia"/>
          <w:highlight w:val="none"/>
          <w:lang w:val="en-US" w:eastAsia="zh-CN"/>
        </w:rPr>
        <w:t>空间结构规划</w:t>
      </w:r>
      <w:r>
        <w:rPr>
          <w:rFonts w:hint="default"/>
          <w:highlight w:val="none"/>
          <w:lang w:val="en-US" w:eastAsia="zh-CN"/>
        </w:rPr>
        <w:t>图</w:t>
      </w:r>
    </w:p>
    <w:p w14:paraId="5FEEF5E9">
      <w:pPr>
        <w:numPr>
          <w:ilvl w:val="0"/>
          <w:numId w:val="0"/>
        </w:numPr>
        <w:ind w:firstLine="560" w:firstLineChars="200"/>
        <w:rPr>
          <w:rFonts w:hint="default"/>
          <w:highlight w:val="none"/>
          <w:lang w:val="en-US" w:eastAsia="zh-CN"/>
        </w:rPr>
      </w:pPr>
      <w:r>
        <w:rPr>
          <w:rFonts w:hint="default"/>
          <w:highlight w:val="none"/>
          <w:lang w:val="en-US" w:eastAsia="zh-CN"/>
        </w:rPr>
        <w:drawing>
          <wp:inline distT="0" distB="0" distL="114300" distR="114300">
            <wp:extent cx="5245735" cy="3267710"/>
            <wp:effectExtent l="0" t="0" r="12065" b="8890"/>
            <wp:docPr id="19" name="图片 19" descr="4.中心城区空间结构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中心城区空间结构规划图"/>
                    <pic:cNvPicPr>
                      <a:picLocks noChangeAspect="1"/>
                    </pic:cNvPicPr>
                  </pic:nvPicPr>
                  <pic:blipFill>
                    <a:blip r:embed="rId18"/>
                    <a:stretch>
                      <a:fillRect/>
                    </a:stretch>
                  </pic:blipFill>
                  <pic:spPr>
                    <a:xfrm>
                      <a:off x="0" y="0"/>
                      <a:ext cx="5245735" cy="3267710"/>
                    </a:xfrm>
                    <a:prstGeom prst="rect">
                      <a:avLst/>
                    </a:prstGeom>
                  </pic:spPr>
                </pic:pic>
              </a:graphicData>
            </a:graphic>
          </wp:inline>
        </w:drawing>
      </w:r>
    </w:p>
    <w:p w14:paraId="5134AF16">
      <w:pPr>
        <w:numPr>
          <w:ilvl w:val="0"/>
          <w:numId w:val="0"/>
        </w:numPr>
        <w:ind w:firstLine="560" w:firstLineChars="200"/>
        <w:rPr>
          <w:rFonts w:hint="default"/>
          <w:highlight w:val="none"/>
          <w:lang w:val="en-US" w:eastAsia="zh-CN"/>
        </w:rPr>
      </w:pPr>
    </w:p>
    <w:p w14:paraId="01A5B4BC">
      <w:pPr>
        <w:numPr>
          <w:ilvl w:val="0"/>
          <w:numId w:val="0"/>
        </w:numPr>
        <w:ind w:firstLine="560" w:firstLineChars="200"/>
        <w:rPr>
          <w:rFonts w:hint="default"/>
          <w:highlight w:val="none"/>
          <w:lang w:val="en-US" w:eastAsia="zh-CN"/>
        </w:rPr>
      </w:pPr>
    </w:p>
    <w:p w14:paraId="7592ED01">
      <w:pPr>
        <w:numPr>
          <w:ilvl w:val="0"/>
          <w:numId w:val="0"/>
        </w:numPr>
        <w:ind w:firstLine="560" w:firstLineChars="200"/>
        <w:rPr>
          <w:rFonts w:hint="default"/>
          <w:highlight w:val="none"/>
          <w:lang w:val="en-US" w:eastAsia="zh-CN"/>
        </w:rPr>
      </w:pPr>
      <w:r>
        <w:rPr>
          <w:rFonts w:hint="default"/>
          <w:highlight w:val="none"/>
          <w:lang w:val="en-US" w:eastAsia="zh-CN"/>
        </w:rPr>
        <w:t>5、中心城区道路系统规划图</w:t>
      </w:r>
    </w:p>
    <w:p w14:paraId="5CE4C086">
      <w:pPr>
        <w:numPr>
          <w:ilvl w:val="0"/>
          <w:numId w:val="0"/>
        </w:numPr>
        <w:ind w:firstLine="560" w:firstLineChars="200"/>
        <w:rPr>
          <w:rFonts w:hint="default"/>
          <w:highlight w:val="none"/>
          <w:lang w:val="en-US" w:eastAsia="zh-CN"/>
        </w:rPr>
      </w:pPr>
      <w:r>
        <w:rPr>
          <w:rFonts w:hint="default"/>
          <w:highlight w:val="none"/>
          <w:lang w:val="en-US" w:eastAsia="zh-CN"/>
        </w:rPr>
        <w:drawing>
          <wp:inline distT="0" distB="0" distL="114300" distR="114300">
            <wp:extent cx="5260340" cy="3722370"/>
            <wp:effectExtent l="0" t="0" r="16510" b="11430"/>
            <wp:docPr id="20" name="图片 20" descr="5.0中心城区道路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0中心城区道路交通规划图"/>
                    <pic:cNvPicPr>
                      <a:picLocks noChangeAspect="1"/>
                    </pic:cNvPicPr>
                  </pic:nvPicPr>
                  <pic:blipFill>
                    <a:blip r:embed="rId19"/>
                    <a:stretch>
                      <a:fillRect/>
                    </a:stretch>
                  </pic:blipFill>
                  <pic:spPr>
                    <a:xfrm>
                      <a:off x="0" y="0"/>
                      <a:ext cx="5260340" cy="3722370"/>
                    </a:xfrm>
                    <a:prstGeom prst="rect">
                      <a:avLst/>
                    </a:prstGeom>
                  </pic:spPr>
                </pic:pic>
              </a:graphicData>
            </a:graphic>
          </wp:inline>
        </w:drawing>
      </w:r>
    </w:p>
    <w:p w14:paraId="65DF8F9C">
      <w:pPr>
        <w:numPr>
          <w:ilvl w:val="0"/>
          <w:numId w:val="0"/>
        </w:numPr>
        <w:ind w:firstLine="560" w:firstLineChars="200"/>
        <w:rPr>
          <w:rFonts w:hint="default"/>
          <w:highlight w:val="none"/>
          <w:lang w:val="en-US" w:eastAsia="zh-CN"/>
        </w:rPr>
      </w:pPr>
      <w:r>
        <w:rPr>
          <w:rFonts w:hint="default"/>
          <w:highlight w:val="none"/>
          <w:lang w:val="en-US" w:eastAsia="zh-CN"/>
        </w:rPr>
        <w:t>6、地块用地布局</w:t>
      </w:r>
      <w:r>
        <w:rPr>
          <w:rFonts w:hint="eastAsia"/>
          <w:highlight w:val="none"/>
          <w:lang w:val="en-US" w:eastAsia="zh-CN"/>
        </w:rPr>
        <w:t>规划</w:t>
      </w:r>
      <w:r>
        <w:rPr>
          <w:rFonts w:hint="default"/>
          <w:highlight w:val="none"/>
          <w:lang w:val="en-US" w:eastAsia="zh-CN"/>
        </w:rPr>
        <w:t>图</w:t>
      </w:r>
    </w:p>
    <w:p w14:paraId="179E92F4">
      <w:pPr>
        <w:numPr>
          <w:ilvl w:val="0"/>
          <w:numId w:val="0"/>
        </w:numPr>
        <w:ind w:firstLine="560" w:firstLineChars="200"/>
        <w:rPr>
          <w:rFonts w:hint="default"/>
          <w:highlight w:val="none"/>
          <w:lang w:val="en-US" w:eastAsia="zh-CN"/>
        </w:rPr>
      </w:pPr>
      <w:r>
        <w:rPr>
          <w:rFonts w:hint="default"/>
          <w:highlight w:val="none"/>
          <w:lang w:val="en-US" w:eastAsia="zh-CN"/>
        </w:rPr>
        <w:drawing>
          <wp:inline distT="0" distB="0" distL="114300" distR="114300">
            <wp:extent cx="5240655" cy="3705860"/>
            <wp:effectExtent l="0" t="0" r="17145" b="8890"/>
            <wp:docPr id="21" name="图片 21" descr="E:/0-2025年工作/2025.4补控规/2025.9.5商登高速开尉路西北地块论证报告/成果/01附件/6.用地布局规划图.jpg6.用地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0-2025年工作/2025.4补控规/2025.9.5商登高速开尉路西北地块论证报告/成果/01附件/6.用地布局规划图.jpg6.用地布局规划图"/>
                    <pic:cNvPicPr>
                      <a:picLocks noChangeAspect="1"/>
                    </pic:cNvPicPr>
                  </pic:nvPicPr>
                  <pic:blipFill>
                    <a:blip r:embed="rId20"/>
                    <a:srcRect t="6" b="6"/>
                    <a:stretch>
                      <a:fillRect/>
                    </a:stretch>
                  </pic:blipFill>
                  <pic:spPr>
                    <a:xfrm>
                      <a:off x="0" y="0"/>
                      <a:ext cx="5240655" cy="3705860"/>
                    </a:xfrm>
                    <a:prstGeom prst="rect">
                      <a:avLst/>
                    </a:prstGeom>
                  </pic:spPr>
                </pic:pic>
              </a:graphicData>
            </a:graphic>
          </wp:inline>
        </w:drawing>
      </w:r>
    </w:p>
    <w:p w14:paraId="33309240">
      <w:pPr>
        <w:numPr>
          <w:ilvl w:val="0"/>
          <w:numId w:val="0"/>
        </w:numPr>
        <w:ind w:firstLine="560" w:firstLineChars="200"/>
        <w:rPr>
          <w:rFonts w:hint="default"/>
          <w:highlight w:val="none"/>
          <w:lang w:val="en-US" w:eastAsia="zh-CN"/>
        </w:rPr>
      </w:pPr>
    </w:p>
    <w:p w14:paraId="0E63A08D">
      <w:pPr>
        <w:numPr>
          <w:ilvl w:val="0"/>
          <w:numId w:val="0"/>
        </w:numPr>
        <w:ind w:firstLine="560" w:firstLineChars="200"/>
        <w:rPr>
          <w:rFonts w:hint="default"/>
          <w:highlight w:val="none"/>
          <w:lang w:val="en-US" w:eastAsia="zh-CN"/>
        </w:rPr>
      </w:pPr>
      <w:r>
        <w:rPr>
          <w:rFonts w:hint="default"/>
          <w:highlight w:val="none"/>
          <w:lang w:val="en-US" w:eastAsia="zh-CN"/>
        </w:rPr>
        <w:t>7、地块道路系统规划图</w:t>
      </w:r>
    </w:p>
    <w:p w14:paraId="14A028A8">
      <w:pPr>
        <w:numPr>
          <w:ilvl w:val="0"/>
          <w:numId w:val="0"/>
        </w:numPr>
        <w:ind w:firstLine="560" w:firstLineChars="200"/>
        <w:rPr>
          <w:rFonts w:hint="default"/>
          <w:highlight w:val="none"/>
          <w:lang w:val="en-US" w:eastAsia="zh-CN"/>
        </w:rPr>
      </w:pPr>
      <w:r>
        <w:rPr>
          <w:rFonts w:hint="default"/>
          <w:highlight w:val="none"/>
          <w:lang w:val="en-US" w:eastAsia="zh-CN"/>
        </w:rPr>
        <w:drawing>
          <wp:inline distT="0" distB="0" distL="114300" distR="114300">
            <wp:extent cx="5240655" cy="3705860"/>
            <wp:effectExtent l="0" t="0" r="17145" b="8890"/>
            <wp:docPr id="22" name="图片 22" descr="E:/0-2025年工作/2025.4补控规/2025.9.5商登高速开尉路西北地块论证报告/成果/01附件/7.道路系统规划图.jpg7.道路系统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0-2025年工作/2025.4补控规/2025.9.5商登高速开尉路西北地块论证报告/成果/01附件/7.道路系统规划图.jpg7.道路系统规划图"/>
                    <pic:cNvPicPr>
                      <a:picLocks noChangeAspect="1"/>
                    </pic:cNvPicPr>
                  </pic:nvPicPr>
                  <pic:blipFill>
                    <a:blip r:embed="rId21"/>
                    <a:srcRect t="6" b="6"/>
                    <a:stretch>
                      <a:fillRect/>
                    </a:stretch>
                  </pic:blipFill>
                  <pic:spPr>
                    <a:xfrm>
                      <a:off x="0" y="0"/>
                      <a:ext cx="5240655" cy="3705860"/>
                    </a:xfrm>
                    <a:prstGeom prst="rect">
                      <a:avLst/>
                    </a:prstGeom>
                  </pic:spPr>
                </pic:pic>
              </a:graphicData>
            </a:graphic>
          </wp:inline>
        </w:drawing>
      </w:r>
    </w:p>
    <w:p w14:paraId="30384CE6">
      <w:pPr>
        <w:numPr>
          <w:ilvl w:val="0"/>
          <w:numId w:val="0"/>
        </w:numPr>
        <w:ind w:firstLine="560" w:firstLineChars="200"/>
        <w:rPr>
          <w:rFonts w:hint="default"/>
          <w:highlight w:val="none"/>
          <w:lang w:val="en-US" w:eastAsia="zh-CN"/>
        </w:rPr>
      </w:pPr>
      <w:r>
        <w:rPr>
          <w:rFonts w:hint="default"/>
          <w:highlight w:val="none"/>
          <w:lang w:val="en-US" w:eastAsia="zh-CN"/>
        </w:rPr>
        <w:t>8、地块原图则</w:t>
      </w:r>
    </w:p>
    <w:p w14:paraId="42C60D6A">
      <w:pPr>
        <w:numPr>
          <w:ilvl w:val="0"/>
          <w:numId w:val="0"/>
        </w:numPr>
        <w:ind w:firstLine="560" w:firstLineChars="200"/>
        <w:rPr>
          <w:rFonts w:hint="default"/>
          <w:highlight w:val="none"/>
          <w:lang w:val="en-US" w:eastAsia="zh-CN"/>
        </w:rPr>
      </w:pPr>
      <w:r>
        <w:rPr>
          <w:rFonts w:hint="default"/>
          <w:highlight w:val="none"/>
          <w:lang w:val="en-US" w:eastAsia="zh-CN"/>
        </w:rPr>
        <w:drawing>
          <wp:inline distT="0" distB="0" distL="114300" distR="114300">
            <wp:extent cx="5240655" cy="3705860"/>
            <wp:effectExtent l="0" t="0" r="17145" b="8890"/>
            <wp:docPr id="23" name="图片 23" descr="E:/0-2025年工作/2025.4补控规/2025.9.5商登高速开尉路西北地块论证报告/成果/01附件/08图则.jpg08图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0-2025年工作/2025.4补控规/2025.9.5商登高速开尉路西北地块论证报告/成果/01附件/08图则.jpg08图则"/>
                    <pic:cNvPicPr>
                      <a:picLocks noChangeAspect="1"/>
                    </pic:cNvPicPr>
                  </pic:nvPicPr>
                  <pic:blipFill>
                    <a:blip r:embed="rId14"/>
                    <a:srcRect t="6" b="6"/>
                    <a:stretch>
                      <a:fillRect/>
                    </a:stretch>
                  </pic:blipFill>
                  <pic:spPr>
                    <a:xfrm>
                      <a:off x="0" y="0"/>
                      <a:ext cx="5240655" cy="3705860"/>
                    </a:xfrm>
                    <a:prstGeom prst="rect">
                      <a:avLst/>
                    </a:prstGeom>
                  </pic:spPr>
                </pic:pic>
              </a:graphicData>
            </a:graphic>
          </wp:inline>
        </w:drawing>
      </w:r>
    </w:p>
    <w:p w14:paraId="16E5E0E5">
      <w:pPr>
        <w:numPr>
          <w:ilvl w:val="0"/>
          <w:numId w:val="0"/>
        </w:numPr>
        <w:ind w:firstLine="560" w:firstLineChars="200"/>
        <w:rPr>
          <w:rFonts w:hint="default"/>
          <w:highlight w:val="none"/>
          <w:lang w:val="en-US" w:eastAsia="zh-CN"/>
        </w:rPr>
      </w:pPr>
    </w:p>
    <w:sectPr>
      <w:footerReference r:id="rId6" w:type="default"/>
      <w:pgSz w:w="11906" w:h="16838"/>
      <w:pgMar w:top="1440" w:right="1800" w:bottom="1440" w:left="1800" w:header="851" w:footer="992" w:gutter="0"/>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JQDLJM+KaiTi_GB2312">
    <w:altName w:val="Sitka Text"/>
    <w:panose1 w:val="02000500000000000000"/>
    <w:charset w:val="01"/>
    <w:family w:val="auto"/>
    <w:pitch w:val="default"/>
    <w:sig w:usb0="00000000" w:usb1="00000000" w:usb2="00000000" w:usb3="00000000" w:csb0="00000000" w:csb1="00000000"/>
  </w:font>
  <w:font w:name="Sitka Text">
    <w:panose1 w:val="02000505000000020004"/>
    <w:charset w:val="00"/>
    <w:family w:val="auto"/>
    <w:pitch w:val="default"/>
    <w:sig w:usb0="A00002EF" w:usb1="4000204B" w:usb2="00000000" w:usb3="00000000" w:csb0="2000019F" w:csb1="00000000"/>
  </w:font>
  <w:font w:name="VFATQQ+TimesNewRomanPSMT">
    <w:altName w:val="Sitka Text"/>
    <w:panose1 w:val="02000500000000000000"/>
    <w:charset w:val="01"/>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4F2E1">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2D4E4">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CF2D4E4">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EEB32">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0A061">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2D0A061">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ADBC1B"/>
    <w:multiLevelType w:val="singleLevel"/>
    <w:tmpl w:val="F8ADBC1B"/>
    <w:lvl w:ilvl="0" w:tentative="0">
      <w:start w:val="5"/>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BC7757"/>
    <w:rsid w:val="038421CA"/>
    <w:rsid w:val="03F41605"/>
    <w:rsid w:val="04681200"/>
    <w:rsid w:val="06E44BB6"/>
    <w:rsid w:val="083A7D10"/>
    <w:rsid w:val="0998594C"/>
    <w:rsid w:val="09B23594"/>
    <w:rsid w:val="0AB063A2"/>
    <w:rsid w:val="0AC57974"/>
    <w:rsid w:val="0B0A2510"/>
    <w:rsid w:val="0BD15D57"/>
    <w:rsid w:val="0F2D0F64"/>
    <w:rsid w:val="137110F1"/>
    <w:rsid w:val="16F45869"/>
    <w:rsid w:val="183D2DA5"/>
    <w:rsid w:val="18AE09A4"/>
    <w:rsid w:val="1B78390E"/>
    <w:rsid w:val="1EE156E4"/>
    <w:rsid w:val="206B22C8"/>
    <w:rsid w:val="214B4104"/>
    <w:rsid w:val="24194B61"/>
    <w:rsid w:val="25094C2E"/>
    <w:rsid w:val="28616AD6"/>
    <w:rsid w:val="287B7A2B"/>
    <w:rsid w:val="29750455"/>
    <w:rsid w:val="2AE16A48"/>
    <w:rsid w:val="2B475386"/>
    <w:rsid w:val="2C64320D"/>
    <w:rsid w:val="2DE50087"/>
    <w:rsid w:val="2F370591"/>
    <w:rsid w:val="2FBB3E2C"/>
    <w:rsid w:val="30A1350F"/>
    <w:rsid w:val="31E53907"/>
    <w:rsid w:val="324B0416"/>
    <w:rsid w:val="34B764A6"/>
    <w:rsid w:val="37673392"/>
    <w:rsid w:val="380B4369"/>
    <w:rsid w:val="38C51623"/>
    <w:rsid w:val="39D4535A"/>
    <w:rsid w:val="3D122A34"/>
    <w:rsid w:val="3D274F66"/>
    <w:rsid w:val="40043CB0"/>
    <w:rsid w:val="401B3FA3"/>
    <w:rsid w:val="41652D3C"/>
    <w:rsid w:val="4400776D"/>
    <w:rsid w:val="44717A58"/>
    <w:rsid w:val="46236091"/>
    <w:rsid w:val="47756433"/>
    <w:rsid w:val="4AF55130"/>
    <w:rsid w:val="4C4C72B9"/>
    <w:rsid w:val="4CAB198A"/>
    <w:rsid w:val="4D4C4591"/>
    <w:rsid w:val="4D6376B8"/>
    <w:rsid w:val="4E8862BB"/>
    <w:rsid w:val="4FEA2479"/>
    <w:rsid w:val="524D19FA"/>
    <w:rsid w:val="531E6161"/>
    <w:rsid w:val="536270DB"/>
    <w:rsid w:val="53B86F15"/>
    <w:rsid w:val="597A7CB1"/>
    <w:rsid w:val="5B977B3E"/>
    <w:rsid w:val="5C9334DA"/>
    <w:rsid w:val="5D8C079F"/>
    <w:rsid w:val="5E6724E6"/>
    <w:rsid w:val="5E721EC4"/>
    <w:rsid w:val="5E8C5954"/>
    <w:rsid w:val="61E8646D"/>
    <w:rsid w:val="61EE33D4"/>
    <w:rsid w:val="664A21A6"/>
    <w:rsid w:val="66DA6FA9"/>
    <w:rsid w:val="67BF28F6"/>
    <w:rsid w:val="6C1E6A25"/>
    <w:rsid w:val="6D100A9D"/>
    <w:rsid w:val="6EE14A08"/>
    <w:rsid w:val="6F3F60CB"/>
    <w:rsid w:val="6FC0020A"/>
    <w:rsid w:val="72BC63B0"/>
    <w:rsid w:val="73852C46"/>
    <w:rsid w:val="743C0593"/>
    <w:rsid w:val="75EB3D50"/>
    <w:rsid w:val="77E4039A"/>
    <w:rsid w:val="78396971"/>
    <w:rsid w:val="78D45C95"/>
    <w:rsid w:val="790B735A"/>
    <w:rsid w:val="7A301431"/>
    <w:rsid w:val="7BFA55A5"/>
    <w:rsid w:val="7C2E4EC9"/>
    <w:rsid w:val="7F032C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pPr>
    <w:rPr>
      <w:rFonts w:ascii="Calibri" w:hAnsi="Calibri" w:eastAsia="宋体" w:cs="Times New Roman"/>
      <w:sz w:val="28"/>
      <w:szCs w:val="22"/>
      <w:lang w:val="en-US" w:eastAsia="zh-CN" w:bidi="ar-SA"/>
    </w:rPr>
  </w:style>
  <w:style w:type="paragraph" w:styleId="2">
    <w:name w:val="heading 1"/>
    <w:basedOn w:val="1"/>
    <w:next w:val="1"/>
    <w:qFormat/>
    <w:uiPriority w:val="0"/>
    <w:pPr>
      <w:keepNext/>
      <w:keepLines/>
      <w:spacing w:before="240" w:beforeLines="0" w:beforeAutospacing="0" w:after="200" w:afterLines="0" w:afterAutospacing="0" w:line="480" w:lineRule="auto"/>
      <w:jc w:val="center"/>
      <w:outlineLvl w:val="0"/>
    </w:pPr>
    <w:rPr>
      <w:rFonts w:ascii="Arial" w:hAnsi="Arial" w:eastAsia="宋体" w:cs="Arial"/>
      <w:b/>
      <w:snapToGrid w:val="0"/>
      <w:color w:val="000000"/>
      <w:kern w:val="44"/>
      <w:sz w:val="44"/>
      <w:szCs w:val="21"/>
    </w:rPr>
  </w:style>
  <w:style w:type="paragraph" w:styleId="3">
    <w:name w:val="heading 2"/>
    <w:basedOn w:val="1"/>
    <w:next w:val="1"/>
    <w:unhideWhenUsed/>
    <w:qFormat/>
    <w:uiPriority w:val="0"/>
    <w:pPr>
      <w:keepNext/>
      <w:keepLines/>
      <w:spacing w:before="200" w:beforeLines="0" w:beforeAutospacing="0" w:after="200" w:afterLines="0" w:afterAutospacing="0" w:line="413" w:lineRule="auto"/>
      <w:ind w:firstLine="0" w:firstLineChars="0"/>
      <w:outlineLvl w:val="1"/>
    </w:pPr>
    <w:rPr>
      <w:rFonts w:ascii="Arial" w:hAnsi="Arial"/>
      <w:b/>
      <w:sz w:val="32"/>
    </w:rPr>
  </w:style>
  <w:style w:type="paragraph" w:styleId="4">
    <w:name w:val="heading 3"/>
    <w:basedOn w:val="1"/>
    <w:next w:val="1"/>
    <w:unhideWhenUsed/>
    <w:qFormat/>
    <w:uiPriority w:val="0"/>
    <w:pPr>
      <w:keepNext/>
      <w:keepLines/>
      <w:spacing w:before="60" w:beforeLines="0" w:beforeAutospacing="0" w:after="60" w:afterLines="0" w:afterAutospacing="0" w:line="413" w:lineRule="auto"/>
      <w:ind w:firstLine="0" w:firstLineChars="0"/>
      <w:outlineLvl w:val="2"/>
    </w:pPr>
    <w:rPr>
      <w:b/>
      <w:sz w:val="30"/>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character" w:styleId="11">
    <w:name w:val="Strong"/>
    <w:basedOn w:val="10"/>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9642</Words>
  <Characters>10588</Characters>
  <Lines>0</Lines>
  <Paragraphs>0</Paragraphs>
  <TotalTime>0</TotalTime>
  <ScaleCrop>false</ScaleCrop>
  <LinksUpToDate>false</LinksUpToDate>
  <CharactersWithSpaces>10858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2025-08-08T03:09:00Z</dcterms:created>
  <dc:creator>曹操字孟德</dc:creator>
  <cp:lastModifiedBy>Administrator</cp:lastModifiedBy>
  <dcterms:modified xsi:type="dcterms:W3CDTF">2025-10-10T02:53:34Z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51973B051D45480AA77127AD5960D5E7_13</vt:lpwstr>
  </property>
  <property fmtid="{D5CDD505-2E9C-101B-9397-08002B2CF9AE}" pid="4" name="KSOTemplateDocerSaveRecord">
    <vt:lpwstr>eyJoZGlkIjoiMjU3MjQzNDI0ZmNhOTExN2Y0YjA3NGYwNzFjNWMzZjMifQ==</vt:lpwstr>
  </property>
</Properties>
</file>